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hint="eastAsia" w:ascii="宋体" w:hAnsi="宋体" w:cs="宋体"/>
          <w:b/>
          <w:sz w:val="72"/>
        </w:rPr>
        <w:t xml:space="preserve">苏州市相城区政府采购</w:t>
      </w:r>
      <w:r/>
    </w:p>
    <w:p>
      <w:pPr>
        <w:jc w:val="center"/>
        <w:spacing w:line="360" w:lineRule="auto"/>
        <w:rPr>
          <w:rFonts w:ascii="宋体" w:hAnsi="宋体" w:cs="宋体"/>
          <w:b/>
          <w:sz w:val="72"/>
        </w:rPr>
      </w:pPr>
      <w:r>
        <w:rPr>
          <w:rFonts w:hint="eastAsia" w:ascii="宋体" w:hAnsi="宋体" w:cs="宋体"/>
          <w:b/>
          <w:sz w:val="72"/>
        </w:rPr>
        <w:t xml:space="preserve">竞争性磋商采购文件</w:t>
      </w:r>
      <w:r/>
    </w:p>
    <w:p>
      <w:pPr>
        <w:ind w:left="2386" w:hanging="1546"/>
        <w:spacing w:line="360" w:lineRule="auto"/>
        <w:tabs>
          <w:tab w:val="left" w:pos="0" w:leader="none"/>
        </w:tabs>
        <w:rPr>
          <w:rFonts w:ascii="宋体" w:hAnsi="宋体" w:cs="宋体"/>
          <w:b/>
          <w:spacing w:val="-6"/>
          <w:sz w:val="32"/>
        </w:rPr>
      </w:pPr>
      <w:r>
        <w:rPr>
          <w:rFonts w:ascii="宋体" w:hAnsi="宋体" w:cs="宋体"/>
          <w:b/>
          <w:spacing w:val="-6"/>
          <w:sz w:val="32"/>
        </w:rPr>
      </w:r>
      <w:r/>
    </w:p>
    <w:p>
      <w:pPr>
        <w:ind w:left="2386" w:hanging="1546"/>
        <w:spacing w:line="360" w:lineRule="auto"/>
        <w:tabs>
          <w:tab w:val="left" w:pos="0" w:leader="none"/>
        </w:tabs>
        <w:rPr>
          <w:rFonts w:ascii="宋体" w:hAnsi="宋体" w:cs="宋体"/>
          <w:b/>
          <w:spacing w:val="-6"/>
          <w:sz w:val="32"/>
        </w:rPr>
      </w:pPr>
      <w:r>
        <w:rPr>
          <w:rFonts w:ascii="宋体" w:hAnsi="宋体" w:cs="宋体"/>
          <w:b/>
          <w:spacing w:val="-6"/>
          <w:sz w:val="32"/>
        </w:rPr>
      </w:r>
      <w:r/>
    </w:p>
    <w:p>
      <w:pPr>
        <w:ind w:left="2386" w:hanging="1546"/>
        <w:spacing w:line="360" w:lineRule="auto"/>
        <w:tabs>
          <w:tab w:val="left" w:pos="0" w:leader="none"/>
        </w:tabs>
        <w:rPr>
          <w:rFonts w:ascii="宋体" w:hAnsi="宋体" w:cs="宋体"/>
          <w:b/>
          <w:spacing w:val="-6"/>
          <w:sz w:val="32"/>
        </w:rPr>
      </w:pPr>
      <w:r>
        <w:rPr>
          <w:rFonts w:hint="eastAsia" w:ascii="宋体" w:hAnsi="宋体" w:cs="宋体"/>
          <w:b/>
          <w:spacing w:val="-6"/>
          <w:sz w:val="32"/>
        </w:rPr>
        <w:t xml:space="preserve">采购编号：JSZC-320507-CJZB-</w:t>
      </w:r>
      <w:bookmarkStart w:id="0" w:name="OLE_LINK1"/>
      <w:r>
        <w:rPr>
          <w:rFonts w:hint="eastAsia" w:ascii="宋体" w:hAnsi="宋体" w:cs="宋体"/>
          <w:b/>
          <w:spacing w:val="-6"/>
          <w:sz w:val="32"/>
        </w:rPr>
        <w:t xml:space="preserve">C2025-0266</w:t>
      </w:r>
      <w:bookmarkEnd w:id="0"/>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采购内容：相城区2026年度农药集中配送、农药包装废弃物及废旧农膜回收处置项目</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 购 人：苏州市相城区农业农村局</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采购代理：苏州市创杰招投标咨询服务有限公司</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pStyle w:val="817"/>
        <w:rPr>
          <w:rFonts w:ascii="宋体" w:hAnsi="宋体" w:cs="宋体"/>
        </w:rPr>
      </w:pPr>
      <w:r>
        <w:rPr>
          <w:rFonts w:ascii="宋体" w:hAnsi="宋体" w:cs="宋体"/>
        </w:rPr>
      </w:r>
      <w:r/>
    </w:p>
    <w:p>
      <w:pPr>
        <w:pStyle w:val="817"/>
        <w:rPr>
          <w:rFonts w:ascii="宋体" w:hAnsi="宋体" w:cs="宋体"/>
        </w:rPr>
      </w:pPr>
      <w:r>
        <w:rPr>
          <w:rFonts w:ascii="宋体" w:hAnsi="宋体" w:cs="宋体"/>
        </w:rPr>
      </w:r>
      <w:r/>
    </w:p>
    <w:p>
      <w:pPr>
        <w:pStyle w:val="817"/>
        <w:rPr>
          <w:rFonts w:ascii="宋体" w:hAnsi="宋体" w:cs="宋体"/>
        </w:rPr>
      </w:pPr>
      <w:r>
        <w:rPr>
          <w:rFonts w:ascii="宋体" w:hAnsi="宋体" w:cs="宋体"/>
        </w:rPr>
      </w:r>
      <w:r/>
    </w:p>
    <w:p>
      <w:pPr>
        <w:jc w:val="center"/>
        <w:spacing w:line="360" w:lineRule="auto"/>
        <w:rPr>
          <w:rFonts w:ascii="宋体" w:hAnsi="宋体" w:cs="宋体"/>
          <w:b/>
          <w:spacing w:val="-6"/>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b/>
          <w:sz w:val="30"/>
          <w:szCs w:val="30"/>
        </w:rPr>
        <w:t xml:space="preserve">二〇二六年一月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JSZC-320507-CJZB-C2025-0266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pPr>
            <w:r>
              <w:rPr>
                <w:rFonts w:hint="eastAsia" w:ascii="宋体" w:hAnsi="宋体" w:cs="宋体"/>
                <w:szCs w:val="21"/>
              </w:rPr>
              <w:t xml:space="preserve">相城区2026年度农药集中配送、农药包装废弃物及废旧农膜回收处置项目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采购代理机构</w:t>
            </w:r>
            <w:r/>
          </w:p>
          <w:p>
            <w:pPr>
              <w:jc w:val="center"/>
              <w:spacing w:line="312"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12" w:lineRule="auto"/>
              <w:rPr>
                <w:rFonts w:ascii="宋体" w:hAnsi="宋体" w:cs="宋体"/>
                <w:szCs w:val="21"/>
              </w:rPr>
            </w:pPr>
            <w:r>
              <w:rPr>
                <w:rFonts w:hint="eastAsia" w:ascii="宋体" w:hAnsi="宋体" w:cs="宋体"/>
                <w:szCs w:val="21"/>
              </w:rPr>
              <w:t xml:space="preserve">地址：苏州市干将西路399号银海大厦303室</w:t>
            </w:r>
            <w:r/>
          </w:p>
          <w:p>
            <w:pPr>
              <w:jc w:val="left"/>
              <w:spacing w:line="312" w:lineRule="auto"/>
              <w:rPr>
                <w:rFonts w:ascii="宋体" w:hAnsi="宋体" w:cs="宋体"/>
                <w:szCs w:val="21"/>
              </w:rPr>
            </w:pPr>
            <w:r>
              <w:rPr>
                <w:rFonts w:hint="eastAsia" w:ascii="宋体" w:hAnsi="宋体" w:cs="宋体"/>
                <w:szCs w:val="21"/>
              </w:rPr>
              <w:t xml:space="preserve">联系人：路丽丽  潘莉莉  朱晓芹 庄天扬</w:t>
            </w:r>
            <w:r/>
          </w:p>
          <w:p>
            <w:pPr>
              <w:pStyle w:val="817"/>
              <w:ind w:left="0" w:firstLine="0"/>
              <w:rPr>
                <w:rFonts w:ascii="宋体" w:hAnsi="宋体" w:cs="宋体"/>
              </w:rPr>
            </w:pPr>
            <w:r>
              <w:rPr>
                <w:rFonts w:hint="eastAsia" w:ascii="宋体" w:hAnsi="宋体" w:cs="宋体"/>
                <w:szCs w:val="21"/>
              </w:rPr>
              <w:t xml:space="preserve">联系电话：0512-65238816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名称：苏州市相城区农业农村局</w:t>
            </w:r>
            <w:r/>
          </w:p>
          <w:p>
            <w:pPr>
              <w:jc w:val="left"/>
              <w:spacing w:line="312" w:lineRule="auto"/>
              <w:rPr>
                <w:rFonts w:ascii="宋体" w:hAnsi="宋体" w:cs="宋体"/>
                <w:szCs w:val="21"/>
              </w:rPr>
            </w:pPr>
            <w:r>
              <w:rPr>
                <w:rFonts w:hint="eastAsia" w:ascii="宋体" w:hAnsi="宋体" w:cs="宋体"/>
                <w:szCs w:val="21"/>
              </w:rPr>
              <w:t xml:space="preserve">地址：阳澄湖东路8号相城区行政中心9号楼</w:t>
            </w:r>
            <w:r/>
          </w:p>
          <w:p>
            <w:pPr>
              <w:jc w:val="left"/>
              <w:spacing w:line="312" w:lineRule="auto"/>
              <w:rPr>
                <w:rFonts w:ascii="宋体" w:hAnsi="宋体" w:cs="宋体"/>
                <w:szCs w:val="21"/>
              </w:rPr>
            </w:pPr>
            <w:r>
              <w:rPr>
                <w:rFonts w:hint="eastAsia" w:ascii="宋体" w:hAnsi="宋体" w:cs="宋体"/>
                <w:szCs w:val="21"/>
              </w:rPr>
              <w:t xml:space="preserve">联系人：邓金花</w:t>
            </w:r>
            <w:r/>
          </w:p>
          <w:p>
            <w:pPr>
              <w:jc w:val="left"/>
              <w:spacing w:line="312" w:lineRule="auto"/>
              <w:rPr>
                <w:rFonts w:ascii="宋体" w:hAnsi="宋体" w:cs="宋体"/>
                <w:szCs w:val="21"/>
              </w:rPr>
            </w:pPr>
            <w:r>
              <w:rPr>
                <w:rFonts w:hint="eastAsia" w:ascii="宋体" w:hAnsi="宋体" w:cs="宋体"/>
                <w:szCs w:val="21"/>
              </w:rPr>
              <w:t xml:space="preserve">联系方式：0512-85182613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响应文件提交截止之日起45天（日历日）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获取采购文件</w:t>
            </w:r>
            <w:r/>
          </w:p>
          <w:p>
            <w:pPr>
              <w:jc w:val="center"/>
              <w:spacing w:line="312"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响应文件网上</w:t>
            </w:r>
            <w:r/>
          </w:p>
          <w:p>
            <w:pPr>
              <w:jc w:val="center"/>
              <w:spacing w:line="312"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2026年1月15日13点30分（北京时间）</w:t>
            </w:r>
            <w:r/>
          </w:p>
          <w:p>
            <w:pPr>
              <w:jc w:val="left"/>
              <w:spacing w:line="312"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开启时间</w:t>
            </w:r>
            <w:r/>
          </w:p>
          <w:p>
            <w:pPr>
              <w:jc w:val="center"/>
              <w:spacing w:line="312"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2026年1月15日13点30分（北京时间）</w:t>
            </w:r>
            <w:r/>
          </w:p>
          <w:p>
            <w:pPr>
              <w:jc w:val="left"/>
              <w:spacing w:line="312"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12"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评审时间</w:t>
            </w:r>
            <w:r/>
          </w:p>
          <w:p>
            <w:pPr>
              <w:jc w:val="center"/>
              <w:spacing w:line="312"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2026年1月15日13点30分（北京时间）</w:t>
            </w:r>
            <w:r/>
          </w:p>
          <w:p>
            <w:pPr>
              <w:jc w:val="left"/>
              <w:spacing w:line="312" w:lineRule="auto"/>
              <w:rPr>
                <w:rFonts w:ascii="宋体" w:hAnsi="宋体" w:cs="宋体"/>
                <w:szCs w:val="21"/>
              </w:rPr>
            </w:pPr>
            <w:r>
              <w:rPr>
                <w:rFonts w:hint="eastAsia" w:ascii="宋体" w:hAnsi="宋体" w:cs="宋体"/>
                <w:szCs w:val="21"/>
              </w:rPr>
              <w:t xml:space="preserve">苏州市高新区邓尉路105号狮山科技馆</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磋商响应</w:t>
            </w:r>
            <w:r/>
          </w:p>
          <w:p>
            <w:pPr>
              <w:jc w:val="center"/>
              <w:spacing w:line="312"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12" w:lineRule="auto"/>
              <w:rPr>
                <w:rFonts w:ascii="宋体" w:hAnsi="宋体" w:cs="宋体"/>
              </w:rPr>
            </w:pPr>
            <w:r>
              <w:rPr>
                <w:rFonts w:hint="eastAsia" w:ascii="宋体" w:hAnsi="宋体" w:cs="宋体"/>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szCs w:val="21"/>
              </w:rPr>
              <w:t xml:space="preserve">本项目采购人未要求收取履约保</w:t>
            </w:r>
            <w:r>
              <w:rPr>
                <w:rFonts w:hint="eastAsia" w:ascii="宋体" w:hAnsi="宋体"/>
                <w:b/>
                <w:bCs/>
                <w:szCs w:val="21"/>
              </w:rPr>
              <w:t xml:space="preserve">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73"/>
              <w:ind w:firstLine="0"/>
              <w:spacing w:line="440" w:lineRule="exact"/>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973"/>
              <w:ind w:firstLine="0"/>
              <w:spacing w:line="312" w:lineRule="auto"/>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相城区2026年度农药集中配送、农药包装废弃物及废旧农膜回收处置项目</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2026年1月15日13点30分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项目编号：JSZC-320507-CJZB-C2025-0266</w:t>
      </w:r>
      <w:r/>
    </w:p>
    <w:p>
      <w:pPr>
        <w:ind w:firstLine="420"/>
        <w:spacing w:line="360" w:lineRule="auto"/>
        <w:rPr>
          <w:rFonts w:ascii="宋体" w:hAnsi="宋体" w:cs="宋体"/>
          <w:szCs w:val="21"/>
        </w:rPr>
      </w:pPr>
      <w:r>
        <w:rPr>
          <w:rFonts w:hint="eastAsia" w:ascii="宋体" w:hAnsi="宋体" w:cs="宋体"/>
          <w:szCs w:val="21"/>
        </w:rPr>
        <w:t xml:space="preserve">项目名称：相城区2026年度农药集中配送、农药包装废弃物及废旧农膜回收处置项目</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预算金额：人民币壹佰捌拾伍万元整（小写：1850000.00元）</w:t>
      </w:r>
      <w:r/>
    </w:p>
    <w:p>
      <w:pPr>
        <w:ind w:firstLine="420"/>
        <w:spacing w:line="360" w:lineRule="auto"/>
        <w:rPr>
          <w:rFonts w:ascii="宋体" w:hAnsi="宋体" w:cs="宋体"/>
          <w:szCs w:val="21"/>
        </w:rPr>
      </w:pPr>
      <w:r>
        <w:rPr>
          <w:rFonts w:hint="eastAsia" w:ascii="宋体" w:hAnsi="宋体" w:cs="宋体"/>
          <w:szCs w:val="21"/>
        </w:rPr>
        <w:t xml:space="preserve">最高限价：同预算金额</w:t>
      </w:r>
      <w:r/>
    </w:p>
    <w:p>
      <w:pPr>
        <w:ind w:firstLine="420"/>
        <w:spacing w:line="360" w:lineRule="auto"/>
        <w:rPr>
          <w:rFonts w:ascii="宋体" w:hAnsi="宋体" w:cs="宋体"/>
          <w:szCs w:val="21"/>
        </w:rPr>
      </w:pPr>
      <w:r>
        <w:rPr>
          <w:rFonts w:hint="eastAsia" w:ascii="宋体" w:hAnsi="宋体" w:cs="仿宋_GB2312"/>
          <w:b/>
          <w:bCs/>
        </w:rPr>
        <w:t xml:space="preserve">注：本项目报价不作竞争，统一报价为</w:t>
      </w:r>
      <w:r>
        <w:rPr>
          <w:rFonts w:hint="eastAsia" w:ascii="宋体" w:hAnsi="宋体" w:cs="宋体"/>
          <w:b/>
          <w:bCs/>
        </w:rPr>
        <w:t xml:space="preserve">1,850,000.00元。</w:t>
      </w:r>
      <w:r/>
    </w:p>
    <w:p>
      <w:pPr>
        <w:ind w:firstLine="420"/>
        <w:spacing w:line="360" w:lineRule="auto"/>
        <w:rPr>
          <w:rFonts w:ascii="宋体" w:hAnsi="宋体" w:cs="宋体"/>
          <w:szCs w:val="21"/>
        </w:rPr>
      </w:pPr>
      <w:r>
        <w:rPr>
          <w:rFonts w:hint="eastAsia" w:ascii="宋体" w:hAnsi="宋体" w:cs="宋体"/>
          <w:szCs w:val="21"/>
        </w:rPr>
        <w:t xml:space="preserve">采购需求：采购相城区2026年度农药集中配送、农药包装废弃物及废旧农膜回收处置第三方服务。</w:t>
      </w:r>
      <w:r/>
    </w:p>
    <w:p>
      <w:pPr>
        <w:ind w:firstLine="420"/>
        <w:spacing w:line="360" w:lineRule="auto"/>
        <w:tabs>
          <w:tab w:val="left" w:pos="210" w:leader="middleDot"/>
        </w:tabs>
        <w:rPr>
          <w:rFonts w:ascii="宋体" w:hAnsi="宋体" w:cs="宋体"/>
          <w:szCs w:val="21"/>
        </w:rPr>
      </w:pPr>
      <w:r>
        <w:rPr>
          <w:rFonts w:hint="eastAsia" w:ascii="宋体" w:hAnsi="宋体" w:cs="宋体"/>
          <w:szCs w:val="21"/>
        </w:rPr>
        <w:t xml:space="preserve">合同履行期限：自合同签订之日起至2026年12月31日止。</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2、落实政府采购政策需满足的资格要求：根据《政府采购促进中小企业发展管理办法》的相关规定，本项目专门面向中小企业采购，所属行业为其他未列明行业。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3、本项目的特定资格要求： </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（2）本项目不接受联合体投标；</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（4）为采购项目提供整体设计、规范编制或者项目管理、监理、监测等服务的供应商，不得</w:t>
      </w:r>
      <w:r>
        <w:rPr>
          <w:rFonts w:hint="eastAsia" w:ascii="宋体" w:hAnsi="宋体" w:cs="宋体"/>
          <w:szCs w:val="21"/>
        </w:rPr>
        <w:t xml:space="preserve">再参加该采购项目的其他采购活动。</w:t>
      </w:r>
      <w:r/>
    </w:p>
    <w:p>
      <w:pPr>
        <w:ind w:firstLine="420"/>
        <w:spacing w:line="360" w:lineRule="auto"/>
        <w:rPr>
          <w:rFonts w:ascii="宋体" w:hAnsi="宋体" w:cs="宋体"/>
        </w:rPr>
      </w:pPr>
      <w:r>
        <w:rPr>
          <w:rFonts w:hint="eastAsia" w:ascii="宋体" w:hAnsi="宋体" w:cs="宋体"/>
        </w:rPr>
        <w:t xml:space="preserve">（5）</w:t>
      </w:r>
      <w:r>
        <w:rPr>
          <w:rFonts w:hint="eastAsia" w:ascii="宋体" w:hAnsi="宋体" w:cs="宋体"/>
          <w:szCs w:val="21"/>
        </w:rPr>
        <w:t xml:space="preserve">法人的分支机构不得参加投标(除银行、保险、石油石化、电力、电信等行业特殊情况外)；</w:t>
      </w:r>
      <w:r/>
    </w:p>
    <w:p>
      <w:pPr>
        <w:ind w:firstLine="420"/>
        <w:spacing w:line="360" w:lineRule="auto"/>
        <w:rPr>
          <w:rFonts w:ascii="宋体" w:hAnsi="宋体" w:cs="宋体"/>
        </w:rPr>
      </w:pPr>
      <w:r>
        <w:rPr>
          <w:rFonts w:hint="eastAsia" w:ascii="宋体" w:hAnsi="宋体" w:cs="宋体"/>
        </w:rPr>
        <w:t xml:space="preserve">（6）其他特定资格要求：响应单位具有有效期内农药经营许可证。</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1" w:name="_Toc35393624"/>
      <w:r/>
      <w:bookmarkStart w:id="2" w:name="_Toc28359005"/>
      <w:r/>
      <w:bookmarkStart w:id="3" w:name="_Toc28359082"/>
      <w:r/>
      <w:bookmarkStart w:id="4" w:name="_Toc35393793"/>
      <w:r>
        <w:rPr>
          <w:rFonts w:hint="eastAsia" w:ascii="宋体" w:hAnsi="宋体" w:cs="宋体"/>
          <w:szCs w:val="21"/>
          <w:shd w:val="clear" w:color="auto" w:fill="ffffff"/>
        </w:rPr>
        <w:t xml:space="preserve">1.时间：自公告发布之日起5个工作日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苏州现场办理地址：苏州市高新区邓尉路105号狮山科技馆一楼服务大厅，咨询电话：0512-65737699。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right="-161"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pStyle w:val="78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注册咨询：18261002950；</w:t>
      </w:r>
      <w:r/>
    </w:p>
    <w:p>
      <w:pPr>
        <w:pStyle w:val="78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CA技术咨询电话：400-608-6099；</w:t>
      </w:r>
      <w:r/>
    </w:p>
    <w:p>
      <w:pPr>
        <w:pStyle w:val="78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签章使用问题：025-83633811、025-83633812、15380932027、15371015030；</w:t>
      </w:r>
      <w:r/>
    </w:p>
    <w:p>
      <w:pPr>
        <w:pStyle w:val="78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系统使用指导与咨询：联系电话：0512-69820854；智能客服：登录苏采云系统后，联系系统右下方智能客服图标进行咨询。</w:t>
      </w:r>
      <w:r/>
    </w:p>
    <w:p>
      <w:pPr>
        <w:pStyle w:val="78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4.售价：免费。</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：2026年1月15日13点30分（北京时间）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1.时间：2026年1月15日13点30分（北京时间）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cs="宋体" w:asciiTheme="minorEastAsia" w:hAnsiTheme="minorEastAsia" w:eastAsiaTheme="minorEastAsia"/>
          <w:szCs w:val="21"/>
        </w:rPr>
        <w:t xml:space="preserve">1.</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3.苏州市相城区财政局政府采购监管处电话：0512-67591005/67591006。</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spacing w:line="360" w:lineRule="auto"/>
        <w:rPr>
          <w:rFonts w:ascii="宋体" w:hAnsi="宋体" w:cs="宋体"/>
          <w:szCs w:val="21"/>
        </w:rPr>
      </w:pPr>
      <w:r>
        <w:rPr>
          <w:rFonts w:hint="eastAsia" w:ascii="宋体" w:hAnsi="宋体" w:cs="宋体"/>
          <w:szCs w:val="21"/>
        </w:rPr>
        <w:t xml:space="preserve">名  称：苏州市相城区农业农村局</w:t>
      </w:r>
      <w:r/>
    </w:p>
    <w:p>
      <w:pPr>
        <w:ind w:firstLine="420"/>
        <w:spacing w:line="360" w:lineRule="auto"/>
        <w:rPr>
          <w:rFonts w:ascii="宋体" w:hAnsi="宋体" w:cs="宋体"/>
          <w:szCs w:val="21"/>
        </w:rPr>
      </w:pPr>
      <w:r>
        <w:rPr>
          <w:rFonts w:hint="eastAsia" w:ascii="宋体" w:hAnsi="宋体" w:cs="宋体"/>
          <w:szCs w:val="21"/>
        </w:rPr>
        <w:t xml:space="preserve">地    址：阳澄湖东路8号相城区行政中心9号楼</w:t>
      </w:r>
      <w:r/>
    </w:p>
    <w:p>
      <w:pPr>
        <w:ind w:firstLine="420"/>
        <w:spacing w:line="360" w:lineRule="auto"/>
        <w:rPr>
          <w:rFonts w:ascii="宋体" w:hAnsi="宋体" w:cs="宋体"/>
          <w:szCs w:val="21"/>
        </w:rPr>
      </w:pPr>
      <w:r>
        <w:rPr>
          <w:rFonts w:hint="eastAsia" w:ascii="宋体" w:hAnsi="宋体" w:cs="宋体"/>
          <w:szCs w:val="21"/>
        </w:rPr>
        <w:t xml:space="preserve">联 系 人：邓金花</w:t>
      </w:r>
      <w:r/>
    </w:p>
    <w:p>
      <w:pPr>
        <w:ind w:firstLine="420"/>
        <w:spacing w:line="360" w:lineRule="auto"/>
        <w:rPr>
          <w:rFonts w:ascii="宋体" w:hAnsi="宋体" w:cs="宋体"/>
          <w:szCs w:val="21"/>
        </w:rPr>
      </w:pPr>
      <w:r>
        <w:rPr>
          <w:rFonts w:hint="eastAsia" w:ascii="宋体" w:hAnsi="宋体" w:cs="宋体"/>
          <w:szCs w:val="21"/>
        </w:rPr>
        <w:t xml:space="preserve">联系方式：0512-85182613</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联 系 人：路丽丽  潘莉莉  朱晓芹  施紫秋</w:t>
      </w:r>
      <w:r/>
    </w:p>
    <w:p>
      <w:pPr>
        <w:ind w:firstLine="420"/>
        <w:spacing w:line="360" w:lineRule="auto"/>
        <w:rPr>
          <w:rFonts w:ascii="宋体" w:hAnsi="宋体" w:cs="宋体"/>
          <w:szCs w:val="21"/>
        </w:rPr>
      </w:pPr>
      <w:r>
        <w:rPr>
          <w:rFonts w:hint="eastAsia" w:ascii="宋体" w:hAnsi="宋体" w:cs="宋体"/>
          <w:szCs w:val="21"/>
        </w:rPr>
        <w:t xml:space="preserve">联系方式：0512-65238816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5" w:name="OLE_LINK2"/>
      <w:r/>
      <w:bookmarkStart w:id="6" w:name="OLE_LINK3"/>
      <w:r>
        <w:rPr>
          <w:rFonts w:hint="eastAsia" w:ascii="宋体" w:hAnsi="宋体" w:cs="宋体"/>
          <w:szCs w:val="21"/>
        </w:rPr>
        <w:t xml:space="preserve">路丽丽</w:t>
      </w:r>
      <w:bookmarkEnd w:id="5"/>
      <w:r/>
      <w:bookmarkEnd w:id="6"/>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bookmarkStart w:id="7" w:name="OLE_LINK4"/>
      <w:r/>
      <w:bookmarkStart w:id="8" w:name="OLE_LINK5"/>
      <w:r>
        <w:rPr>
          <w:rFonts w:hint="eastAsia" w:ascii="宋体" w:hAnsi="宋体" w:cs="宋体"/>
          <w:szCs w:val="21"/>
        </w:rPr>
        <w:t xml:space="preserve">0512-65238816</w:t>
      </w:r>
      <w:bookmarkEnd w:id="7"/>
      <w:r/>
      <w:bookmarkEnd w:id="8"/>
      <w:r/>
      <w:r/>
    </w:p>
    <w:p>
      <w:pPr>
        <w:ind w:firstLine="420"/>
        <w:jc w:val="right"/>
        <w:spacing w:line="360" w:lineRule="auto"/>
        <w:rPr>
          <w:rFonts w:ascii="宋体" w:hAnsi="宋体" w:cs="宋体"/>
          <w:szCs w:val="21"/>
        </w:rPr>
      </w:pPr>
      <w:r>
        <w:rPr>
          <w:rFonts w:ascii="宋体" w:hAnsi="宋体" w:cs="宋体"/>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市相城区农业农村局之委托，苏州市创杰招投标咨询服务有限公司对其需采购的相城区2026年度农药集中配送、农药包装废弃物及废旧农膜回收处置项目在国内组织竞争性磋商采购。欢迎符合资格条件的供应商前来报名参加磋商</w:t>
      </w:r>
      <w:r>
        <w:rPr>
          <w:rFonts w:hint="eastAsia" w:ascii="宋体" w:hAnsi="宋体" w:cs="宋体"/>
          <w:szCs w:val="21"/>
        </w:rPr>
        <w:t xml:space="preserve">。</w:t>
      </w:r>
      <w:r/>
    </w:p>
    <w:p>
      <w:pPr>
        <w:ind w:firstLine="422"/>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JSZC-320507-CJZB-C2025-0266</w:t>
      </w:r>
      <w:r/>
    </w:p>
    <w:p>
      <w:pPr>
        <w:ind w:firstLine="422"/>
        <w:spacing w:line="360" w:lineRule="auto"/>
        <w:rPr>
          <w:rFonts w:ascii="宋体" w:hAnsi="宋体" w:cs="宋体"/>
          <w:szCs w:val="21"/>
        </w:rPr>
      </w:pPr>
      <w:r>
        <w:rPr>
          <w:rFonts w:hint="eastAsia" w:ascii="宋体" w:hAnsi="宋体" w:cs="宋体"/>
          <w:b/>
          <w:szCs w:val="21"/>
        </w:rPr>
        <w:t xml:space="preserve">二、项目名称：</w:t>
      </w:r>
      <w:r>
        <w:rPr>
          <w:rFonts w:hint="eastAsia" w:ascii="宋体" w:hAnsi="宋体" w:cs="宋体"/>
          <w:szCs w:val="21"/>
        </w:rPr>
        <w:t xml:space="preserve">相城区2026年度农药集中配送、农药包装废弃物及废旧农膜回收处置项目</w:t>
      </w:r>
      <w:r/>
    </w:p>
    <w:p>
      <w:pPr>
        <w:ind w:firstLine="422"/>
        <w:spacing w:line="360" w:lineRule="auto"/>
        <w:rPr>
          <w:rFonts w:ascii="宋体" w:hAnsi="宋体" w:cs="宋体"/>
          <w:szCs w:val="21"/>
        </w:rPr>
        <w:outlineLvl w:val="1"/>
      </w:pPr>
      <w:r>
        <w:rPr>
          <w:rFonts w:hint="eastAsia" w:ascii="宋体" w:hAnsi="宋体" w:cs="宋体"/>
          <w:b/>
          <w:szCs w:val="21"/>
        </w:rPr>
        <w:t xml:space="preserve">三、采购项目预算（最高限价）：</w:t>
      </w:r>
      <w:r>
        <w:rPr>
          <w:rFonts w:hint="eastAsia" w:ascii="宋体" w:hAnsi="宋体" w:cs="宋体"/>
          <w:bCs/>
          <w:szCs w:val="21"/>
        </w:rPr>
        <w:t xml:space="preserve">人民币壹佰捌拾伍万元整（小写：1850000.00元）</w:t>
      </w:r>
      <w:r/>
    </w:p>
    <w:p>
      <w:pPr>
        <w:ind w:firstLine="422"/>
        <w:spacing w:line="360" w:lineRule="auto"/>
        <w:rPr>
          <w:rFonts w:ascii="宋体" w:hAnsi="宋体" w:cs="宋体"/>
          <w:bCs/>
          <w:szCs w:val="21"/>
        </w:rPr>
        <w:outlineLvl w:val="1"/>
      </w:pPr>
      <w:r>
        <w:rPr>
          <w:rFonts w:hint="eastAsia" w:ascii="宋体" w:hAnsi="宋体" w:cs="宋体"/>
          <w:b/>
          <w:szCs w:val="21"/>
        </w:rPr>
        <w:t xml:space="preserve">四：服务期限</w:t>
      </w:r>
      <w:r>
        <w:rPr>
          <w:rFonts w:hint="eastAsia" w:ascii="宋体" w:hAnsi="宋体" w:cs="宋体"/>
          <w:bCs/>
          <w:szCs w:val="21"/>
        </w:rPr>
        <w:t xml:space="preserve">：自合同签订之日起至2026年12月31日止。</w:t>
      </w:r>
      <w:r/>
    </w:p>
    <w:p>
      <w:pPr>
        <w:ind w:firstLine="422"/>
        <w:spacing w:line="360" w:lineRule="auto"/>
        <w:rPr>
          <w:rFonts w:ascii="宋体" w:hAnsi="宋体" w:cs="宋体"/>
          <w:b/>
          <w:szCs w:val="21"/>
        </w:rPr>
        <w:outlineLvl w:val="1"/>
      </w:pPr>
      <w:r>
        <w:rPr>
          <w:rFonts w:hint="eastAsia" w:ascii="宋体" w:hAnsi="宋体" w:cs="宋体"/>
          <w:b/>
          <w:szCs w:val="21"/>
        </w:rPr>
        <w:t xml:space="preserve">五、采购需求：</w:t>
      </w:r>
      <w:r/>
    </w:p>
    <w:p>
      <w:pPr>
        <w:ind w:firstLine="420"/>
        <w:spacing w:line="360" w:lineRule="auto"/>
        <w:rPr>
          <w:rFonts w:ascii="宋体" w:hAnsi="宋体" w:cs="宋体"/>
          <w:bCs/>
          <w:szCs w:val="21"/>
        </w:rPr>
        <w:outlineLvl w:val="1"/>
      </w:pPr>
      <w:r>
        <w:rPr>
          <w:rFonts w:hint="eastAsia" w:ascii="宋体" w:hAnsi="宋体" w:cs="宋体"/>
          <w:bCs/>
          <w:szCs w:val="21"/>
        </w:rPr>
        <w:t xml:space="preserve">（一）项目概况</w:t>
      </w:r>
      <w:r/>
    </w:p>
    <w:p>
      <w:pPr>
        <w:ind w:firstLine="480"/>
        <w:spacing w:line="360" w:lineRule="auto"/>
        <w:rPr>
          <w:rFonts w:ascii="宋体" w:hAnsi="宋体" w:cs="Arial Unicode MS"/>
          <w:szCs w:val="21"/>
        </w:rPr>
      </w:pPr>
      <w:r>
        <w:rPr>
          <w:rFonts w:hint="eastAsia" w:ascii="宋体" w:hAnsi="宋体" w:cs="Arial Unicode MS"/>
          <w:szCs w:val="21"/>
        </w:rPr>
        <w:t xml:space="preserve">1、农药集中配送：对全区粮油、蔬菜、林果等作物病虫草防治所需的主要农药实行统一采购、统一补贴、统一服务的农药集中配送，全区农药集中配送农药供应安全得到有效保障。</w:t>
      </w:r>
      <w:r/>
    </w:p>
    <w:p>
      <w:pPr>
        <w:ind w:firstLine="480"/>
        <w:spacing w:line="360" w:lineRule="auto"/>
        <w:rPr>
          <w:rFonts w:ascii="宋体" w:hAnsi="宋体" w:cs="Arial Unicode MS"/>
          <w:szCs w:val="21"/>
        </w:rPr>
      </w:pPr>
      <w:r>
        <w:rPr>
          <w:rFonts w:hint="eastAsia" w:ascii="宋体" w:hAnsi="宋体" w:cs="Arial Unicode MS"/>
          <w:szCs w:val="21"/>
        </w:rPr>
        <w:t xml:space="preserve">2、农药包装废弃物回收处置：对全区农业生产等产生的农药包装废弃物（包括与农药直接接触的瓶、罐、桶、袋等）统一进行回收、分类，集中进行无害化处置，实现全区农药包装废弃物应收尽收，回收农药包装废弃物包装物无害化处置率100%。</w:t>
      </w:r>
      <w:r/>
    </w:p>
    <w:p>
      <w:pPr>
        <w:ind w:firstLine="480"/>
        <w:spacing w:line="360" w:lineRule="auto"/>
        <w:rPr>
          <w:rFonts w:ascii="宋体" w:hAnsi="宋体" w:cs="Arial"/>
          <w:bCs/>
          <w:szCs w:val="21"/>
        </w:rPr>
      </w:pPr>
      <w:r>
        <w:rPr>
          <w:rFonts w:hint="eastAsia" w:ascii="宋体" w:hAnsi="宋体"/>
          <w:szCs w:val="21"/>
        </w:rPr>
        <w:t xml:space="preserve">3、废旧农膜回收处置：对全区因农业生产产生的废旧地膜（残膜）进行统一回收、分类、归集，并做相应的处置，有效降低农业面源污染，全区废旧地膜回收率达98%以上，资源化利用率100%。</w:t>
      </w:r>
      <w:r/>
    </w:p>
    <w:p>
      <w:pPr>
        <w:ind w:firstLine="420"/>
        <w:spacing w:line="360" w:lineRule="auto"/>
        <w:rPr>
          <w:rFonts w:ascii="宋体" w:hAnsi="宋体" w:cs="宋体"/>
          <w:bCs/>
          <w:szCs w:val="21"/>
        </w:rPr>
        <w:outlineLvl w:val="1"/>
      </w:pPr>
      <w:r>
        <w:rPr>
          <w:rFonts w:hint="eastAsia" w:ascii="宋体" w:hAnsi="宋体" w:cs="宋体"/>
          <w:bCs/>
          <w:szCs w:val="21"/>
        </w:rPr>
        <w:t xml:space="preserve">（二）配送及回收服务质量要求：</w:t>
      </w:r>
      <w:r/>
    </w:p>
    <w:p>
      <w:pPr>
        <w:ind w:firstLine="480"/>
        <w:jc w:val="left"/>
        <w:spacing w:line="360" w:lineRule="auto"/>
        <w:widowControl/>
        <w:rPr>
          <w:rFonts w:ascii="宋体" w:hAnsi="宋体" w:cs="宋体"/>
          <w:szCs w:val="21"/>
        </w:rPr>
      </w:pPr>
      <w:r>
        <w:rPr>
          <w:rFonts w:hint="eastAsia" w:ascii="宋体" w:hAnsi="宋体" w:cs="宋体"/>
          <w:szCs w:val="21"/>
        </w:rPr>
        <w:t xml:space="preserve">1、中标经营主体需按照采购单位业务部门制定的目录农药做好配送农药的公开招（议）标，价格不得高于苏州周边县市价格。</w:t>
      </w:r>
      <w:r/>
    </w:p>
    <w:p>
      <w:pPr>
        <w:ind w:firstLine="480"/>
        <w:jc w:val="left"/>
        <w:spacing w:line="360" w:lineRule="auto"/>
        <w:widowControl/>
        <w:rPr>
          <w:rFonts w:ascii="宋体" w:hAnsi="宋体" w:cs="宋体"/>
          <w:szCs w:val="21"/>
        </w:rPr>
      </w:pPr>
      <w:r>
        <w:rPr>
          <w:rFonts w:hint="eastAsia" w:ascii="宋体" w:hAnsi="宋体" w:cs="宋体"/>
          <w:szCs w:val="21"/>
        </w:rPr>
        <w:t xml:space="preserve">2、中标经营主体根据采购单位业务部门的技术要求，及时足量配送（销售）成交农药，确保农药配送的时效性。</w:t>
      </w:r>
      <w:r/>
    </w:p>
    <w:p>
      <w:pPr>
        <w:ind w:firstLine="480"/>
        <w:jc w:val="left"/>
        <w:spacing w:line="360" w:lineRule="auto"/>
        <w:widowControl/>
        <w:rPr>
          <w:rFonts w:ascii="宋体" w:hAnsi="宋体" w:cs="宋体"/>
          <w:szCs w:val="21"/>
        </w:rPr>
      </w:pPr>
      <w:r>
        <w:rPr>
          <w:rFonts w:hint="eastAsia" w:ascii="宋体" w:hAnsi="宋体" w:cs="宋体"/>
          <w:szCs w:val="21"/>
        </w:rPr>
        <w:t xml:space="preserve">3、中标经营主体在各配送（回收）站点积极开展农药包装废弃物及地膜残膜回收并及时做好无害化处置工作。</w:t>
      </w:r>
      <w:r/>
    </w:p>
    <w:p>
      <w:pPr>
        <w:ind w:firstLine="480"/>
        <w:jc w:val="left"/>
        <w:spacing w:line="360" w:lineRule="auto"/>
        <w:widowControl/>
        <w:rPr>
          <w:rFonts w:ascii="宋体" w:hAnsi="宋体" w:cs="宋体"/>
          <w:szCs w:val="21"/>
        </w:rPr>
      </w:pPr>
      <w:r>
        <w:rPr>
          <w:rFonts w:hint="eastAsia" w:ascii="宋体" w:hAnsi="宋体" w:cs="宋体"/>
          <w:szCs w:val="21"/>
        </w:rPr>
        <w:t xml:space="preserve">4、中标经营主体必须有真实完整的农药购销记录，应使用相城区智慧农资云平台，成交农药商品信息，农药购进、储存、配送、销售环节信息需及时录入相城区智慧农资云平台。成交单位在各配送（回收）站点统一配备农药实名制购买相关设备。</w:t>
      </w:r>
      <w:r/>
    </w:p>
    <w:p>
      <w:pPr>
        <w:ind w:firstLine="480"/>
        <w:jc w:val="left"/>
        <w:spacing w:line="360" w:lineRule="auto"/>
        <w:widowControl/>
        <w:rPr>
          <w:rFonts w:ascii="宋体" w:hAnsi="宋体" w:cs="宋体"/>
          <w:szCs w:val="21"/>
        </w:rPr>
      </w:pPr>
      <w:r>
        <w:rPr>
          <w:rFonts w:hint="eastAsia" w:ascii="宋体" w:hAnsi="宋体" w:cs="宋体"/>
          <w:szCs w:val="21"/>
        </w:rPr>
        <w:t xml:space="preserve">5、中标经营主体应做到集中配送农药的品种、价格，农药包装废弃物及地膜（残膜）回收价格等信息在配送点的醒目处公示，并协助采购单位业务部门做好农药集中配送和农药包装废弃物及地膜（残膜）回收政策、农药科学安全使用、病虫草害防治技术指导等宣传工作以及协助开展农药使用量调查、病虫害防治进度调度、病虫草害新农药试验示范等工作。</w:t>
      </w:r>
      <w:r/>
    </w:p>
    <w:p>
      <w:pPr>
        <w:ind w:firstLine="480"/>
        <w:jc w:val="left"/>
        <w:spacing w:line="360" w:lineRule="auto"/>
        <w:widowControl/>
        <w:rPr>
          <w:rFonts w:ascii="宋体" w:hAnsi="宋体" w:cs="宋体"/>
          <w:szCs w:val="21"/>
        </w:rPr>
      </w:pPr>
      <w:r>
        <w:rPr>
          <w:rFonts w:hint="eastAsia" w:ascii="宋体" w:hAnsi="宋体" w:cs="宋体"/>
          <w:szCs w:val="21"/>
        </w:rPr>
        <w:t xml:space="preserve">6、中标经营主体应建立并执行购药进货检查验收制度，验明农药合格证明和其他标识确保购进农药质量安全。</w:t>
      </w:r>
      <w:r/>
    </w:p>
    <w:p>
      <w:pPr>
        <w:ind w:firstLine="480"/>
        <w:jc w:val="left"/>
        <w:spacing w:line="360" w:lineRule="auto"/>
        <w:widowControl/>
        <w:rPr>
          <w:rFonts w:ascii="宋体" w:hAnsi="宋体" w:cs="宋体"/>
          <w:szCs w:val="21"/>
        </w:rPr>
      </w:pPr>
      <w:r>
        <w:rPr>
          <w:rFonts w:hint="eastAsia" w:ascii="宋体" w:hAnsi="宋体" w:cs="宋体"/>
          <w:szCs w:val="21"/>
        </w:rPr>
        <w:t xml:space="preserve">7、中标经营主体统一使用</w:t>
      </w:r>
      <w:r>
        <w:rPr>
          <w:rFonts w:hint="eastAsia" w:ascii="宋体" w:hAnsi="宋体" w:cs="宋体"/>
          <w:szCs w:val="21"/>
        </w:rPr>
        <w:t xml:space="preserve">相城区智慧农资云平台开展配送和回收工作。中标经营主体应制定完整的规章制度对配送（回收）网点进行制度化规范管理，对各配送（回收）网点开展日常监督及季度专项监督，重点核查各网点台账完整性、规范性，逐一核对农药配送数量与实际出库数据，确保账实相符，精准核对各网点回收农药包装废弃物及废旧农膜数量、种类及暂存情况，各网点需主动配合监督检查，及时整改问题。中标经营主体应每半年组织开展一次工作总结，梳理配送中心和配送（回收）网点运营情况报送采购单位。配送中心和各网点应按要求规范留存台账及相关凭证，定期上报配送、回收数据。</w:t>
      </w:r>
      <w:r/>
    </w:p>
    <w:p>
      <w:pPr>
        <w:ind w:firstLine="480"/>
        <w:jc w:val="left"/>
        <w:spacing w:line="360" w:lineRule="auto"/>
        <w:widowControl/>
        <w:rPr>
          <w:rFonts w:ascii="宋体" w:hAnsi="宋体" w:cs="宋体"/>
          <w:bCs/>
          <w:szCs w:val="21"/>
        </w:rPr>
      </w:pPr>
      <w:r>
        <w:rPr>
          <w:rFonts w:hint="eastAsia" w:ascii="宋体" w:hAnsi="宋体" w:cs="宋体"/>
          <w:szCs w:val="21"/>
        </w:rPr>
        <w:t xml:space="preserve">8、采购单位采购的免费农药由中标经营主体（配送中心）配送给种植主体但不享受配送补贴。</w:t>
      </w:r>
      <w:r/>
    </w:p>
    <w:p>
      <w:pPr>
        <w:ind w:firstLine="480"/>
        <w:jc w:val="left"/>
        <w:spacing w:line="360" w:lineRule="auto"/>
        <w:widowControl/>
        <w:rPr>
          <w:rFonts w:ascii="宋体" w:hAnsi="宋体" w:cs="宋体"/>
          <w:bCs/>
          <w:szCs w:val="21"/>
        </w:rPr>
      </w:pPr>
      <w:r>
        <w:rPr>
          <w:rFonts w:hint="eastAsia" w:ascii="宋体" w:hAnsi="宋体" w:cs="宋体"/>
          <w:bCs/>
          <w:szCs w:val="21"/>
        </w:rPr>
        <w:t xml:space="preserve">（三）配送及回收考核合同终止情况：</w:t>
      </w:r>
      <w:r/>
    </w:p>
    <w:p>
      <w:pPr>
        <w:ind w:firstLine="480"/>
        <w:jc w:val="left"/>
        <w:spacing w:line="360" w:lineRule="auto"/>
        <w:widowControl/>
        <w:rPr>
          <w:rFonts w:ascii="宋体" w:hAnsi="宋体" w:cs="宋体"/>
          <w:bCs/>
          <w:szCs w:val="21"/>
        </w:rPr>
      </w:pPr>
      <w:r>
        <w:rPr>
          <w:rFonts w:hint="eastAsia" w:ascii="宋体" w:hAnsi="宋体" w:cs="宋体"/>
          <w:bCs/>
          <w:szCs w:val="21"/>
        </w:rPr>
        <w:t xml:space="preserve">1、配送药剂要求：所有配送药剂必须来自零差率农药招标目录，且遵从区农技部门的技术要求，若擅自在相城区域内以零差价配送非招标目录药剂，视为违约，自动终止合同。</w:t>
      </w:r>
      <w:r/>
    </w:p>
    <w:p>
      <w:pPr>
        <w:ind w:firstLine="480"/>
        <w:jc w:val="left"/>
        <w:spacing w:line="360" w:lineRule="auto"/>
        <w:widowControl/>
        <w:rPr>
          <w:rFonts w:ascii="宋体" w:hAnsi="宋体" w:cs="宋体"/>
          <w:bCs/>
          <w:szCs w:val="21"/>
        </w:rPr>
      </w:pPr>
      <w:r>
        <w:rPr>
          <w:rFonts w:hint="eastAsia" w:ascii="宋体" w:hAnsi="宋体" w:cs="宋体"/>
          <w:bCs/>
          <w:szCs w:val="21"/>
        </w:rPr>
        <w:t xml:space="preserve">2、配送数量要求：农药配送数量根据乡镇需求情况来定，应符合乡镇实际种植情况，若存在虚报配送数量、弄虚作假等行为，视为违约，立即终止合同。</w:t>
      </w:r>
      <w:r/>
    </w:p>
    <w:p>
      <w:pPr>
        <w:ind w:firstLine="480"/>
        <w:jc w:val="left"/>
        <w:spacing w:line="360" w:lineRule="auto"/>
        <w:widowControl/>
        <w:rPr>
          <w:rFonts w:ascii="宋体" w:hAnsi="宋体" w:cs="宋体"/>
          <w:bCs/>
          <w:szCs w:val="21"/>
        </w:rPr>
      </w:pPr>
      <w:r>
        <w:rPr>
          <w:rFonts w:hint="eastAsia" w:ascii="宋体" w:hAnsi="宋体" w:cs="宋体"/>
          <w:bCs/>
          <w:szCs w:val="21"/>
        </w:rPr>
        <w:t xml:space="preserve">3、配送时效要求：根据区农技中心发布的病虫情报，及时将药剂配送到各乡镇站点，各站点在规定时间内将药剂配送到种植农户。如若出现配送延迟，将作为年终考核重要依据：每年出现3次及以上配送延迟，立即终止合同。</w:t>
      </w:r>
      <w:r/>
    </w:p>
    <w:p>
      <w:pPr>
        <w:ind w:firstLine="480"/>
        <w:jc w:val="left"/>
        <w:spacing w:line="360" w:lineRule="auto"/>
        <w:widowControl/>
        <w:rPr>
          <w:rFonts w:ascii="宋体" w:hAnsi="宋体" w:cs="宋体"/>
          <w:bCs/>
          <w:szCs w:val="21"/>
        </w:rPr>
      </w:pPr>
      <w:r>
        <w:rPr>
          <w:rFonts w:hint="eastAsia" w:ascii="宋体" w:hAnsi="宋体" w:cs="宋体"/>
          <w:bCs/>
          <w:szCs w:val="21"/>
        </w:rPr>
        <w:t xml:space="preserve">（四）费用补贴与资金结算</w:t>
      </w:r>
      <w:r/>
    </w:p>
    <w:p>
      <w:pPr>
        <w:ind w:firstLine="480"/>
        <w:spacing w:line="360" w:lineRule="auto"/>
        <w:rPr>
          <w:rFonts w:ascii="宋体" w:hAnsi="宋体" w:cs="Arial Unicode MS"/>
          <w:szCs w:val="21"/>
        </w:rPr>
      </w:pPr>
      <w:r>
        <w:rPr>
          <w:rFonts w:hint="eastAsia" w:ascii="宋体" w:hAnsi="宋体" w:cs="Arial Unicode MS"/>
          <w:szCs w:val="21"/>
        </w:rPr>
        <w:t xml:space="preserve">1、2026年农药集中配送、农药包装废弃物及地膜残膜回收补贴标准如下：</w:t>
      </w:r>
      <w:r/>
    </w:p>
    <w:p>
      <w:pPr>
        <w:ind w:firstLine="480"/>
        <w:spacing w:line="360" w:lineRule="auto"/>
        <w:rPr>
          <w:rFonts w:ascii="宋体" w:hAnsi="宋体" w:cs="Arial Unicode MS"/>
          <w:szCs w:val="21"/>
        </w:rPr>
      </w:pPr>
      <w:r>
        <w:rPr>
          <w:rFonts w:hint="eastAsia" w:ascii="宋体" w:hAnsi="宋体" w:cs="Arial Unicode MS"/>
          <w:szCs w:val="21"/>
        </w:rPr>
        <w:t xml:space="preserve">（1）农药集中配送补贴标准：按农药中标价的30%给与补贴，其中25%为中标经营主体的农药配送补贴，5%优惠给农户。</w:t>
      </w:r>
      <w:r/>
    </w:p>
    <w:p>
      <w:pPr>
        <w:ind w:firstLine="480"/>
        <w:spacing w:line="360" w:lineRule="auto"/>
        <w:rPr>
          <w:rFonts w:ascii="宋体" w:hAnsi="宋体" w:cs="Arial Unicode MS"/>
          <w:szCs w:val="21"/>
        </w:rPr>
      </w:pPr>
      <w:r>
        <w:rPr>
          <w:rFonts w:hint="eastAsia" w:ascii="宋体" w:hAnsi="宋体" w:cs="Arial Unicode MS"/>
          <w:szCs w:val="21"/>
        </w:rPr>
        <w:t xml:space="preserve">（2）农药包装废弃物回收补贴标准：按照农药包装瓶（瓶盖完整）0.5元/只（补贴农户部分不低于0.3元/只），农药包装袋0.3元/只（补贴农户部分不低于0.1元/只）补贴，回收费用包括瓶/袋收购费、回收过程中的分类、打包、存储、运输、无害化处置、宣传、培训等涉及的物品采购和人工费用等。</w:t>
      </w:r>
      <w:r/>
    </w:p>
    <w:p>
      <w:pPr>
        <w:ind w:firstLine="480"/>
        <w:spacing w:line="360" w:lineRule="auto"/>
        <w:rPr>
          <w:rFonts w:ascii="宋体" w:hAnsi="宋体" w:cs="Arial Unicode MS"/>
          <w:szCs w:val="21"/>
        </w:rPr>
      </w:pPr>
      <w:r>
        <w:rPr>
          <w:rFonts w:hint="eastAsia" w:ascii="宋体" w:hAnsi="宋体" w:cs="Arial Unicode MS"/>
          <w:szCs w:val="21"/>
        </w:rPr>
        <w:t xml:space="preserve">（3）农业地膜残膜回收补贴标准：按照6元/千克（补贴农户部分不低于3.2元/千克）回收，回收费包括地膜残膜收购费、回收过程中的分类、打包、存储、运输、处置、宣传、培训等涉及的物品采购和人工费用等。</w:t>
      </w:r>
      <w:r/>
    </w:p>
    <w:p>
      <w:pPr>
        <w:ind w:firstLine="480"/>
        <w:spacing w:line="360" w:lineRule="auto"/>
        <w:rPr>
          <w:rFonts w:ascii="宋体" w:hAnsi="宋体" w:cs="宋体"/>
          <w:szCs w:val="21"/>
        </w:rPr>
      </w:pPr>
      <w:r>
        <w:rPr>
          <w:rFonts w:ascii="宋体" w:hAnsi="宋体" w:cs="Arial Unicode MS"/>
          <w:szCs w:val="21"/>
        </w:rPr>
        <w:t xml:space="preserve">2</w:t>
      </w:r>
      <w:r>
        <w:rPr>
          <w:rFonts w:hint="eastAsia" w:ascii="宋体" w:hAnsi="宋体" w:cs="Arial Unicode MS"/>
          <w:szCs w:val="21"/>
        </w:rPr>
        <w:t xml:space="preserve">、资金结算</w:t>
      </w:r>
      <w:bookmarkStart w:id="9" w:name="OLE_LINK40"/>
      <w:r>
        <w:rPr>
          <w:rFonts w:hint="eastAsia" w:ascii="宋体" w:hAnsi="宋体" w:cs="Arial Unicode MS"/>
          <w:szCs w:val="21"/>
        </w:rPr>
        <w:t xml:space="preserve">：按合同规定执行。</w:t>
      </w:r>
      <w:bookmarkEnd w:id="9"/>
      <w:r/>
      <w:r/>
    </w:p>
    <w:p>
      <w:pPr>
        <w:numPr>
          <w:ilvl w:val="0"/>
          <w:numId w:val="3"/>
        </w:numPr>
        <w:ind w:firstLine="480"/>
        <w:spacing w:line="360" w:lineRule="auto"/>
        <w:rPr>
          <w:rFonts w:ascii="宋体" w:hAnsi="宋体"/>
          <w:szCs w:val="21"/>
        </w:rPr>
      </w:pPr>
      <w:r>
        <w:rPr>
          <w:rFonts w:hint="eastAsia" w:ascii="宋体" w:hAnsi="宋体" w:cs="宋体"/>
          <w:szCs w:val="21"/>
        </w:rPr>
        <w:t xml:space="preserve">服务期限：</w:t>
      </w:r>
      <w:r>
        <w:rPr>
          <w:rFonts w:hint="eastAsia" w:ascii="宋体" w:hAnsi="宋体"/>
          <w:szCs w:val="21"/>
        </w:rPr>
        <w:t xml:space="preserve">自合同签订之日起至2026年12月31日止。</w:t>
      </w:r>
      <w:r/>
    </w:p>
    <w:p>
      <w:pPr>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仿宋_GB2312"/>
          <w:b/>
          <w:bCs/>
        </w:rPr>
        <w:t xml:space="preserve">本项目报价不作竞争，统一报价为</w:t>
      </w:r>
      <w:r>
        <w:rPr>
          <w:rFonts w:hint="eastAsia" w:ascii="宋体" w:hAnsi="宋体" w:cs="宋体"/>
          <w:b/>
          <w:bCs/>
        </w:rPr>
        <w:t xml:space="preserve">1,850,000.00元。</w:t>
      </w:r>
      <w:r>
        <w:rPr>
          <w:rFonts w:hint="eastAsia" w:ascii="宋体" w:hAnsi="宋体" w:cs="仿宋_GB2312"/>
          <w:b/>
          <w:bCs/>
        </w:rPr>
        <w:t xml:space="preserve">本项目合同金额为人民币</w:t>
      </w:r>
      <w:r>
        <w:rPr>
          <w:rFonts w:hint="eastAsia" w:ascii="宋体" w:hAnsi="宋体" w:cs="仿宋_GB2312"/>
          <w:b/>
          <w:bCs/>
          <w:u w:val="single"/>
        </w:rPr>
        <w:t xml:space="preserve">（大写）壹佰捌拾伍万元整；（￥</w:t>
      </w:r>
      <w:r>
        <w:rPr>
          <w:rFonts w:ascii="宋体" w:hAnsi="宋体" w:cs="仿宋_GB2312"/>
          <w:b/>
          <w:bCs/>
          <w:u w:val="single"/>
        </w:rPr>
        <w:t xml:space="preserve">:</w:t>
      </w:r>
      <w:r>
        <w:rPr>
          <w:rFonts w:hint="eastAsia" w:ascii="宋体" w:hAnsi="宋体" w:cs="仿宋_GB2312"/>
          <w:b/>
          <w:bCs/>
          <w:u w:val="single"/>
        </w:rPr>
        <w:t xml:space="preserve">185</w:t>
      </w:r>
      <w:r>
        <w:rPr>
          <w:rFonts w:ascii="宋体" w:hAnsi="宋体" w:cs="仿宋_GB2312"/>
          <w:b/>
          <w:bCs/>
          <w:u w:val="single"/>
        </w:rPr>
        <w:t xml:space="preserve">0000.00</w:t>
      </w:r>
      <w:r>
        <w:rPr>
          <w:rFonts w:hint="eastAsia" w:ascii="宋体" w:hAnsi="宋体" w:cs="仿宋_GB2312"/>
          <w:b/>
          <w:bCs/>
          <w:u w:val="single"/>
        </w:rPr>
        <w:t xml:space="preserve">元）</w:t>
      </w:r>
      <w:r>
        <w:rPr>
          <w:rFonts w:hint="eastAsia" w:ascii="宋体" w:hAnsi="宋体" w:cs="仿宋_GB2312"/>
          <w:b/>
          <w:bCs/>
        </w:rPr>
        <w:t xml:space="preserve">。按实结算，补贴总金额不超过合同金额（如有超额，超出部分由乙方自行承担）</w:t>
      </w:r>
      <w:r/>
    </w:p>
    <w:p>
      <w:pPr>
        <w:ind w:firstLine="482"/>
        <w:spacing w:line="360" w:lineRule="auto"/>
        <w:widowControl/>
        <w:tabs>
          <w:tab w:val="left" w:pos="753" w:leader="none"/>
        </w:tabs>
        <w:rPr>
          <w:rFonts w:ascii="宋体" w:hAnsi="宋体"/>
          <w:b/>
          <w:szCs w:val="21"/>
        </w:rPr>
        <w:outlineLvl w:val="1"/>
      </w:pPr>
      <w:r>
        <w:rPr>
          <w:rFonts w:hint="eastAsia" w:ascii="宋体" w:hAnsi="宋体"/>
          <w:b/>
          <w:szCs w:val="21"/>
        </w:rPr>
        <w:t xml:space="preserve">六、综合说明及其他要求：</w:t>
      </w:r>
      <w:r/>
    </w:p>
    <w:p>
      <w:pPr>
        <w:ind w:firstLine="480"/>
        <w:jc w:val="left"/>
        <w:spacing w:line="360" w:lineRule="auto"/>
        <w:widowControl/>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成交供应商</w:t>
      </w:r>
      <w:r>
        <w:rPr>
          <w:rFonts w:hint="eastAsia" w:ascii="宋体" w:hAnsi="宋体"/>
          <w:szCs w:val="21"/>
          <w:lang w:val="zh-CN"/>
        </w:rPr>
        <w:t xml:space="preserve">需严格按</w:t>
      </w:r>
      <w:r>
        <w:rPr>
          <w:rFonts w:hint="eastAsia" w:ascii="宋体" w:hAnsi="宋体"/>
          <w:szCs w:val="21"/>
        </w:rPr>
        <w:t xml:space="preserve">采购人</w:t>
      </w:r>
      <w:r>
        <w:rPr>
          <w:rFonts w:hint="eastAsia" w:ascii="宋体" w:hAnsi="宋体"/>
          <w:szCs w:val="21"/>
          <w:lang w:val="zh-CN"/>
        </w:rPr>
        <w:t xml:space="preserve">规定的时间完成项目的各项工作内容，如在实施的过程中出现错误，误差，需负责及时更正直至</w:t>
      </w:r>
      <w:r>
        <w:rPr>
          <w:rFonts w:hint="eastAsia" w:ascii="宋体" w:hAnsi="宋体"/>
          <w:szCs w:val="21"/>
        </w:rPr>
        <w:t xml:space="preserve">采购人</w:t>
      </w:r>
      <w:r>
        <w:rPr>
          <w:rFonts w:hint="eastAsia" w:ascii="宋体" w:hAnsi="宋体"/>
          <w:szCs w:val="21"/>
          <w:lang w:val="zh-CN"/>
        </w:rPr>
        <w:t xml:space="preserve">确认合格，</w:t>
      </w:r>
      <w:r>
        <w:rPr>
          <w:rFonts w:hint="eastAsia" w:ascii="宋体" w:hAnsi="宋体"/>
          <w:szCs w:val="21"/>
        </w:rPr>
        <w:t xml:space="preserve">成交供应商</w:t>
      </w:r>
      <w:r>
        <w:rPr>
          <w:rFonts w:hint="eastAsia" w:ascii="宋体" w:hAnsi="宋体"/>
          <w:szCs w:val="21"/>
          <w:lang w:val="zh-CN"/>
        </w:rPr>
        <w:t xml:space="preserve">在项目进行过程中产生的任何安全、损坏等责任事故一律由</w:t>
      </w:r>
      <w:r>
        <w:rPr>
          <w:rFonts w:hint="eastAsia" w:ascii="宋体" w:hAnsi="宋体"/>
          <w:szCs w:val="21"/>
        </w:rPr>
        <w:t xml:space="preserve">成交供应商</w:t>
      </w:r>
      <w:r>
        <w:rPr>
          <w:rFonts w:hint="eastAsia" w:ascii="宋体" w:hAnsi="宋体"/>
          <w:szCs w:val="21"/>
          <w:lang w:val="zh-CN"/>
        </w:rPr>
        <w:t xml:space="preserve">自行承担。</w:t>
      </w:r>
      <w:r/>
    </w:p>
    <w:p>
      <w:pPr>
        <w:ind w:firstLine="480"/>
        <w:jc w:val="left"/>
        <w:spacing w:line="360" w:lineRule="auto"/>
        <w:widowControl/>
        <w:rPr>
          <w:rFonts w:ascii="宋体" w:hAnsi="宋体"/>
          <w:szCs w:val="21"/>
          <w:lang w:val="zh-CN"/>
        </w:rPr>
      </w:pPr>
      <w:r>
        <w:rPr>
          <w:rFonts w:hint="eastAsia" w:ascii="宋体" w:hAnsi="宋体"/>
          <w:szCs w:val="21"/>
          <w:lang w:val="zh-CN"/>
        </w:rPr>
        <w:t xml:space="preserve">2、如遇</w:t>
      </w:r>
      <w:r>
        <w:rPr>
          <w:rFonts w:hint="eastAsia" w:ascii="宋体" w:hAnsi="宋体"/>
          <w:szCs w:val="21"/>
        </w:rPr>
        <w:t xml:space="preserve">特殊</w:t>
      </w:r>
      <w:r>
        <w:rPr>
          <w:rFonts w:hint="eastAsia" w:ascii="宋体" w:hAnsi="宋体"/>
          <w:szCs w:val="21"/>
          <w:lang w:val="zh-CN"/>
        </w:rPr>
        <w:t xml:space="preserve">情况，</w:t>
      </w:r>
      <w:r>
        <w:rPr>
          <w:rFonts w:hint="eastAsia" w:ascii="宋体" w:hAnsi="宋体"/>
          <w:szCs w:val="21"/>
        </w:rPr>
        <w:t xml:space="preserve">成交供应商</w:t>
      </w:r>
      <w:r>
        <w:rPr>
          <w:rFonts w:hint="eastAsia" w:ascii="宋体" w:hAnsi="宋体"/>
          <w:szCs w:val="21"/>
          <w:lang w:val="zh-CN"/>
        </w:rPr>
        <w:t xml:space="preserve">需协助</w:t>
      </w:r>
      <w:r>
        <w:rPr>
          <w:rFonts w:hint="eastAsia" w:ascii="宋体" w:hAnsi="宋体"/>
          <w:szCs w:val="21"/>
        </w:rPr>
        <w:t xml:space="preserve">采购人</w:t>
      </w:r>
      <w:r>
        <w:rPr>
          <w:rFonts w:hint="eastAsia" w:ascii="宋体" w:hAnsi="宋体"/>
          <w:szCs w:val="21"/>
          <w:lang w:val="zh-CN"/>
        </w:rPr>
        <w:t xml:space="preserve">完成需要</w:t>
      </w:r>
      <w:r>
        <w:rPr>
          <w:rFonts w:hint="eastAsia" w:ascii="宋体" w:hAnsi="宋体"/>
          <w:szCs w:val="21"/>
        </w:rPr>
        <w:t xml:space="preserve">成交供应商</w:t>
      </w:r>
      <w:r>
        <w:rPr>
          <w:rFonts w:hint="eastAsia" w:ascii="宋体" w:hAnsi="宋体"/>
          <w:szCs w:val="21"/>
          <w:lang w:val="zh-CN"/>
        </w:rPr>
        <w:t xml:space="preserve">配合的服务。</w:t>
      </w:r>
      <w:r/>
    </w:p>
    <w:p>
      <w:pPr>
        <w:ind w:firstLine="480"/>
        <w:jc w:val="left"/>
        <w:spacing w:line="360" w:lineRule="auto"/>
        <w:widowControl/>
        <w:rPr>
          <w:rFonts w:ascii="宋体" w:hAnsi="宋体"/>
          <w:szCs w:val="21"/>
          <w:lang w:val="zh-CN"/>
        </w:rPr>
      </w:pPr>
      <w:r>
        <w:rPr>
          <w:rFonts w:hint="eastAsia" w:ascii="宋体" w:hAnsi="宋体"/>
          <w:szCs w:val="21"/>
          <w:lang w:val="zh-CN"/>
        </w:rPr>
        <w:t xml:space="preserve">3、</w:t>
      </w:r>
      <w:r>
        <w:rPr>
          <w:rFonts w:hint="eastAsia" w:ascii="宋体" w:hAnsi="宋体"/>
          <w:szCs w:val="21"/>
        </w:rPr>
        <w:t xml:space="preserve">供应商</w:t>
      </w:r>
      <w:r>
        <w:rPr>
          <w:rFonts w:hint="eastAsia" w:ascii="宋体" w:hAnsi="宋体"/>
          <w:szCs w:val="21"/>
          <w:lang w:val="zh-CN"/>
        </w:rPr>
        <w:t xml:space="preserve">必须承诺按磋商文件中提出的全部技术规范要求及提供服务，如果以其中某些条款不响应时，应在文件中逐条列出，未列出的视同响应。</w:t>
      </w:r>
      <w:r/>
    </w:p>
    <w:p>
      <w:pPr>
        <w:ind w:firstLine="480"/>
        <w:jc w:val="left"/>
        <w:spacing w:line="360" w:lineRule="auto"/>
        <w:widowControl/>
        <w:rPr>
          <w:rFonts w:ascii="宋体" w:hAnsi="宋体"/>
          <w:szCs w:val="21"/>
          <w:lang w:val="zh-CN"/>
        </w:rPr>
      </w:pPr>
      <w:r>
        <w:rPr>
          <w:rFonts w:hint="eastAsia" w:ascii="宋体" w:hAnsi="宋体"/>
          <w:szCs w:val="21"/>
          <w:lang w:val="zh-CN"/>
        </w:rPr>
        <w:t xml:space="preserve">4</w:t>
      </w:r>
      <w:r>
        <w:rPr>
          <w:rFonts w:ascii="宋体" w:hAnsi="宋体"/>
          <w:szCs w:val="21"/>
          <w:lang w:val="zh-CN"/>
        </w:rPr>
        <w:t xml:space="preserve">、</w:t>
      </w:r>
      <w:r>
        <w:rPr>
          <w:rFonts w:hint="eastAsia" w:ascii="宋体" w:hAnsi="宋体"/>
          <w:szCs w:val="21"/>
          <w:lang w:val="zh-CN"/>
        </w:rPr>
        <w:t xml:space="preserve">磋商报价包括所有采购内容以及本项目所需的劳务支出、易耗品、通讯、服装、胸卡、办公设备、各种税费、人工、保险、劳保、维护、利润、税金、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ind w:firstLine="480"/>
        <w:jc w:val="left"/>
        <w:spacing w:line="360" w:lineRule="auto"/>
        <w:widowControl/>
        <w:rPr>
          <w:rFonts w:ascii="宋体" w:hAnsi="宋体" w:cs="宋体"/>
          <w:szCs w:val="21"/>
        </w:rPr>
      </w:pPr>
      <w:r>
        <w:rPr>
          <w:rFonts w:hint="eastAsia" w:ascii="宋体" w:hAnsi="宋体"/>
          <w:szCs w:val="21"/>
          <w:lang w:val="zh-CN"/>
        </w:rPr>
        <w:t xml:space="preserve">5、</w:t>
      </w:r>
      <w:r>
        <w:rPr>
          <w:rFonts w:hint="eastAsia" w:ascii="宋体" w:hAnsi="宋体" w:cs="宋体"/>
          <w:szCs w:val="21"/>
        </w:rPr>
        <w:t xml:space="preserve">采购文件提出的是最低限度的要求，并未对一切细节作出规定，也未充分引述全部有关标准和规范的条文，</w:t>
      </w:r>
      <w:r>
        <w:rPr>
          <w:rFonts w:hint="eastAsia" w:ascii="宋体" w:hAnsi="宋体"/>
          <w:szCs w:val="21"/>
        </w:rPr>
        <w:t xml:space="preserve">供应商</w:t>
      </w:r>
      <w:r>
        <w:rPr>
          <w:rFonts w:hint="eastAsia" w:ascii="宋体" w:hAnsi="宋体" w:cs="宋体"/>
          <w:szCs w:val="21"/>
        </w:rPr>
        <w:t xml:space="preserve">提供的标的物都应符合已颁布的现行中华人民共和国认可的（部颁、行业）标准和国际标准化组织以及等效或更优的其他国家的权威性标准和规范的有关条文。如果这些标准内容有矛盾时，应按最高标准的条款执行。</w:t>
      </w:r>
      <w:r>
        <w:rPr>
          <w:rFonts w:hint="eastAsia" w:ascii="宋体" w:hAnsi="宋体"/>
          <w:szCs w:val="21"/>
        </w:rPr>
        <w:t xml:space="preserve">成果的内容必须符合有关要求和国家有关标准。</w:t>
      </w:r>
      <w:r/>
    </w:p>
    <w:p>
      <w:pPr>
        <w:ind w:firstLine="482"/>
        <w:spacing w:line="360" w:lineRule="auto"/>
        <w:rPr>
          <w:rFonts w:ascii="宋体" w:hAnsi="宋体" w:cs="宋体"/>
          <w:b/>
          <w:szCs w:val="21"/>
        </w:rPr>
      </w:pPr>
      <w:r>
        <w:rPr>
          <w:rFonts w:hint="eastAsia" w:ascii="宋体" w:hAnsi="宋体"/>
          <w:szCs w:val="21"/>
        </w:rPr>
        <w:t xml:space="preserve">6、成交供应商应按期向采购人提供符合质量要求的服务、货物。</w:t>
      </w:r>
      <w:r/>
    </w:p>
    <w:p>
      <w:pPr>
        <w:ind w:firstLine="422"/>
        <w:spacing w:line="360" w:lineRule="auto"/>
        <w:rPr>
          <w:rFonts w:ascii="宋体" w:hAnsi="宋体" w:cs="宋体"/>
          <w:szCs w:val="21"/>
        </w:rPr>
        <w:outlineLvl w:val="1"/>
      </w:pPr>
      <w:r>
        <w:rPr>
          <w:rFonts w:hint="eastAsia" w:ascii="宋体" w:hAnsi="宋体" w:cs="宋体"/>
          <w:b/>
          <w:szCs w:val="21"/>
        </w:rPr>
        <w:t xml:space="preserve">七、响应文件的组成及要求</w:t>
      </w:r>
      <w:r/>
    </w:p>
    <w:p>
      <w:pPr>
        <w:ind w:firstLine="420"/>
        <w:jc w:val="left"/>
        <w:spacing w:line="360" w:lineRule="auto"/>
        <w:widowControl/>
        <w:rPr>
          <w:rFonts w:ascii="宋体" w:hAnsi="宋体" w:cs="宋体"/>
          <w:szCs w:val="21"/>
        </w:rPr>
      </w:pPr>
      <w:r>
        <w:rPr>
          <w:rFonts w:hint="eastAsia" w:ascii="宋体" w:hAnsi="宋体" w:cs="宋体"/>
          <w:szCs w:val="21"/>
        </w:rPr>
        <w:t xml:space="preserve">（一）文件组成（部分格式见附件）</w:t>
      </w:r>
      <w:r/>
    </w:p>
    <w:p>
      <w:pPr>
        <w:pStyle w:val="78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p>
    <w:p>
      <w:pPr>
        <w:pStyle w:val="78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p>
    <w:p>
      <w:pPr>
        <w:pStyle w:val="78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3、磋商报价分析表</w:t>
      </w:r>
      <w:r/>
    </w:p>
    <w:p>
      <w:pPr>
        <w:pStyle w:val="78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4、资格审查响应文件</w:t>
      </w:r>
      <w:r/>
    </w:p>
    <w:p>
      <w:pPr>
        <w:pStyle w:val="786"/>
        <w:spacing w:line="360" w:lineRule="auto"/>
        <w:rPr>
          <w:rFonts w:ascii="宋体" w:hAnsi="宋体" w:eastAsia="宋体" w:cs="宋体"/>
          <w:bCs/>
          <w:sz w:val="21"/>
          <w:szCs w:val="21"/>
        </w:rPr>
      </w:pPr>
      <w:r>
        <w:rPr>
          <w:rFonts w:hint="eastAsia" w:ascii="宋体" w:hAnsi="宋体" w:eastAsia="宋体" w:cs="宋体"/>
          <w:bCs/>
          <w:sz w:val="21"/>
          <w:szCs w:val="21"/>
        </w:rPr>
        <w:t xml:space="preserve">4.1合格供应商的基本条件</w:t>
      </w:r>
      <w:r/>
    </w:p>
    <w:p>
      <w:pPr>
        <w:pStyle w:val="1020"/>
        <w:spacing w:line="360" w:lineRule="auto"/>
        <w:rPr>
          <w:rFonts w:ascii="宋体" w:hAnsi="宋体" w:cs="宋体"/>
          <w:bCs/>
          <w:szCs w:val="21"/>
        </w:rPr>
      </w:pPr>
      <w:r>
        <w:rPr>
          <w:rFonts w:hint="eastAsia" w:ascii="宋体" w:hAnsi="宋体" w:cs="宋体"/>
          <w:bCs/>
          <w:szCs w:val="21"/>
        </w:rPr>
        <w:t xml:space="preserve">4.1.1具有独立承担民事责任的能力。提供包括法人或者其他组织的营业执照等证明文件，自然人的身份证明；</w:t>
      </w:r>
      <w:r/>
    </w:p>
    <w:p>
      <w:pPr>
        <w:pStyle w:val="1020"/>
        <w:spacing w:line="360" w:lineRule="auto"/>
        <w:rPr>
          <w:rFonts w:ascii="宋体" w:hAnsi="宋体" w:cs="宋体"/>
          <w:bCs/>
          <w:szCs w:val="21"/>
        </w:rPr>
      </w:pPr>
      <w:r>
        <w:rPr>
          <w:rFonts w:hint="eastAsia" w:ascii="宋体" w:hAnsi="宋体" w:cs="宋体"/>
          <w:bCs/>
          <w:szCs w:val="21"/>
        </w:rPr>
        <w:t xml:space="preserve">4.1.2具有良好的商业信誉和健全的财务会计制度。提供包括但不限于最近一期（2024年度）财务审计报告或最近一期</w:t>
      </w:r>
      <w:r>
        <w:rPr>
          <w:rFonts w:hint="eastAsia" w:ascii="宋体" w:hAnsi="宋体" w:cs="宋体"/>
          <w:szCs w:val="21"/>
        </w:rPr>
        <w:t xml:space="preserve">（近2025年6月以来任意一期）</w:t>
      </w:r>
      <w:r>
        <w:rPr>
          <w:rFonts w:hint="eastAsia" w:ascii="宋体" w:hAnsi="宋体" w:cs="宋体"/>
          <w:bCs/>
          <w:szCs w:val="21"/>
        </w:rPr>
        <w:t xml:space="preserve">财务报表，其他组织、自然人及成立未满一年的法人应提供银行出具的资信证明）；</w:t>
      </w:r>
      <w:r/>
    </w:p>
    <w:p>
      <w:pPr>
        <w:pStyle w:val="1020"/>
        <w:spacing w:line="360" w:lineRule="auto"/>
        <w:rPr>
          <w:rFonts w:ascii="宋体" w:hAnsi="宋体" w:cs="宋体"/>
          <w:bCs/>
          <w:szCs w:val="21"/>
        </w:rPr>
      </w:pPr>
      <w:r>
        <w:rPr>
          <w:rFonts w:hint="eastAsia" w:ascii="宋体" w:hAnsi="宋体" w:cs="宋体"/>
          <w:bCs/>
          <w:szCs w:val="21"/>
        </w:rPr>
        <w:t xml:space="preserve">4.1.3具有履行合同所必需的设备和专业技术能力。提供证明材料或承诺；</w:t>
      </w:r>
      <w:r/>
    </w:p>
    <w:p>
      <w:pPr>
        <w:pStyle w:val="1020"/>
        <w:spacing w:line="360" w:lineRule="auto"/>
        <w:rPr>
          <w:rFonts w:ascii="宋体" w:hAnsi="宋体" w:cs="宋体"/>
          <w:bCs/>
          <w:szCs w:val="21"/>
        </w:rPr>
      </w:pPr>
      <w:r>
        <w:rPr>
          <w:rFonts w:hint="eastAsia" w:ascii="宋体" w:hAnsi="宋体" w:cs="宋体"/>
          <w:bCs/>
          <w:szCs w:val="21"/>
        </w:rPr>
        <w:t xml:space="preserve">4.1.4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1020"/>
        <w:spacing w:line="360" w:lineRule="auto"/>
        <w:rPr>
          <w:rFonts w:ascii="宋体" w:hAnsi="宋体" w:cs="宋体"/>
          <w:bCs/>
          <w:szCs w:val="21"/>
        </w:rPr>
      </w:pPr>
      <w:r>
        <w:rPr>
          <w:rFonts w:hint="eastAsia" w:ascii="宋体" w:hAnsi="宋体" w:cs="宋体"/>
          <w:bCs/>
          <w:szCs w:val="21"/>
        </w:rPr>
        <w:t xml:space="preserve">4.1.5参加政府采购活动前三年内，在经营活动中没有重大违法记录。提供书面声明函；</w:t>
      </w:r>
      <w:r/>
    </w:p>
    <w:p>
      <w:pPr>
        <w:pStyle w:val="1020"/>
        <w:spacing w:line="360" w:lineRule="auto"/>
        <w:rPr>
          <w:rFonts w:ascii="宋体" w:hAnsi="宋体" w:cs="宋体"/>
          <w:bCs/>
          <w:szCs w:val="21"/>
        </w:rPr>
      </w:pPr>
      <w:r>
        <w:rPr>
          <w:rFonts w:hint="eastAsia" w:ascii="宋体" w:hAnsi="宋体" w:cs="宋体"/>
          <w:bCs/>
          <w:szCs w:val="21"/>
        </w:rPr>
        <w:t xml:space="preserve">4.1.6法律、行政法规规定的其他条件。提供书面声明函；</w:t>
      </w:r>
      <w:r/>
    </w:p>
    <w:p>
      <w:pPr>
        <w:pStyle w:val="786"/>
        <w:spacing w:line="360" w:lineRule="auto"/>
        <w:rPr>
          <w:rFonts w:ascii="宋体" w:hAnsi="宋体" w:eastAsia="宋体" w:cs="宋体"/>
          <w:bCs/>
          <w:sz w:val="21"/>
          <w:szCs w:val="21"/>
        </w:rPr>
      </w:pPr>
      <w:r>
        <w:rPr>
          <w:rFonts w:hint="eastAsia" w:ascii="宋体" w:hAnsi="宋体" w:eastAsia="宋体" w:cs="宋体"/>
          <w:bCs/>
          <w:sz w:val="21"/>
          <w:szCs w:val="21"/>
        </w:rPr>
        <w:t xml:space="preserve">4.2</w:t>
      </w:r>
      <w:r>
        <w:rPr>
          <w:rFonts w:hint="eastAsia" w:ascii="宋体" w:hAnsi="宋体" w:eastAsia="宋体" w:cs="宋体"/>
          <w:sz w:val="21"/>
          <w:szCs w:val="21"/>
        </w:rPr>
        <w:t xml:space="preserve">《中小企业声明函》或《残疾人福利性单位声明函》或</w:t>
      </w:r>
      <w:r>
        <w:rPr>
          <w:rFonts w:hint="eastAsia" w:ascii="宋体" w:hAnsi="宋体" w:eastAsia="宋体" w:cs="宋体"/>
          <w:sz w:val="21"/>
          <w:szCs w:val="21"/>
          <w:lang w:val="zh-CN"/>
        </w:rPr>
        <w:t xml:space="preserve">省级以上监狱管理局、戒毒管理局（含新疆生产建设兵团）出具的属于监狱企业的证明文件；</w:t>
      </w:r>
      <w:r/>
    </w:p>
    <w:p>
      <w:pPr>
        <w:pStyle w:val="786"/>
        <w:spacing w:line="360" w:lineRule="auto"/>
        <w:rPr>
          <w:rFonts w:ascii="宋体" w:hAnsi="宋体" w:eastAsia="宋体" w:cs="宋体"/>
          <w:bCs/>
          <w:sz w:val="21"/>
          <w:szCs w:val="21"/>
        </w:rPr>
      </w:pPr>
      <w:r>
        <w:rPr>
          <w:rFonts w:hint="eastAsia" w:ascii="宋体" w:hAnsi="宋体" w:eastAsia="宋体" w:cs="宋体"/>
          <w:bCs/>
          <w:sz w:val="21"/>
          <w:szCs w:val="21"/>
        </w:rPr>
        <w:t xml:space="preserve">4.3响应单位具有有效期内农药经营许可证，提供证书复印件；</w:t>
      </w:r>
      <w:r/>
    </w:p>
    <w:p>
      <w:pPr>
        <w:pStyle w:val="786"/>
        <w:spacing w:line="360" w:lineRule="auto"/>
        <w:rPr>
          <w:rFonts w:ascii="宋体" w:hAnsi="宋体" w:eastAsia="宋体" w:cs="宋体"/>
          <w:bCs/>
          <w:sz w:val="21"/>
          <w:szCs w:val="21"/>
        </w:rPr>
      </w:pPr>
      <w:r>
        <w:rPr>
          <w:rFonts w:hint="eastAsia" w:ascii="宋体" w:hAnsi="宋体" w:eastAsia="宋体" w:cs="宋体"/>
          <w:bCs/>
          <w:sz w:val="21"/>
          <w:szCs w:val="21"/>
        </w:rPr>
        <w:t xml:space="preserve">4.4其它有关资格证明的文件（包括磋商公告中本项目的特定资格要求的证明文件）；</w:t>
      </w:r>
      <w:r/>
    </w:p>
    <w:p>
      <w:pPr>
        <w:pStyle w:val="78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5、符合性审查响应文件</w:t>
      </w:r>
      <w:r/>
    </w:p>
    <w:p>
      <w:pPr>
        <w:pStyle w:val="1020"/>
        <w:spacing w:line="360" w:lineRule="auto"/>
        <w:rPr>
          <w:rFonts w:ascii="宋体" w:hAnsi="宋体" w:cs="宋体"/>
          <w:szCs w:val="21"/>
        </w:rPr>
      </w:pPr>
      <w:r>
        <w:rPr>
          <w:rFonts w:hint="eastAsia" w:ascii="宋体" w:hAnsi="宋体" w:cs="宋体"/>
          <w:szCs w:val="21"/>
        </w:rPr>
        <w:t xml:space="preserve">5.1磋商响应函；</w:t>
      </w:r>
      <w:r/>
    </w:p>
    <w:p>
      <w:pPr>
        <w:pStyle w:val="1020"/>
        <w:spacing w:line="360" w:lineRule="auto"/>
        <w:rPr>
          <w:rFonts w:ascii="宋体" w:hAnsi="宋体" w:cs="宋体"/>
          <w:szCs w:val="21"/>
        </w:rPr>
      </w:pPr>
      <w:r>
        <w:rPr>
          <w:rFonts w:hint="eastAsia" w:ascii="宋体" w:hAnsi="宋体" w:cs="宋体"/>
          <w:szCs w:val="21"/>
        </w:rPr>
        <w:t xml:space="preserve">5.2磋商响应单位法定代表人身份证复印件；法人授权委托书和磋商响应单位授权代理人身份证复印件（如有授权）；</w:t>
      </w:r>
      <w:r/>
    </w:p>
    <w:p>
      <w:pPr>
        <w:pStyle w:val="1020"/>
        <w:spacing w:line="360" w:lineRule="auto"/>
        <w:rPr>
          <w:rFonts w:ascii="宋体" w:hAnsi="宋体" w:cs="宋体"/>
          <w:szCs w:val="21"/>
        </w:rPr>
      </w:pPr>
      <w:r>
        <w:rPr>
          <w:rFonts w:hint="eastAsia" w:ascii="宋体" w:hAnsi="宋体" w:cs="宋体"/>
          <w:szCs w:val="21"/>
        </w:rPr>
        <w:t xml:space="preserve">5.3关于资格文件的声明函；</w:t>
      </w:r>
      <w:r/>
    </w:p>
    <w:p>
      <w:pPr>
        <w:pStyle w:val="1020"/>
        <w:spacing w:line="360" w:lineRule="auto"/>
        <w:rPr>
          <w:rFonts w:ascii="宋体" w:hAnsi="宋体" w:cs="宋体"/>
          <w:szCs w:val="21"/>
        </w:rPr>
      </w:pPr>
      <w:r>
        <w:rPr>
          <w:rFonts w:hint="eastAsia" w:ascii="宋体" w:hAnsi="宋体" w:cs="宋体"/>
          <w:szCs w:val="21"/>
        </w:rPr>
        <w:t xml:space="preserve">5.4服务偏离表；</w:t>
      </w:r>
      <w:r/>
    </w:p>
    <w:p>
      <w:pPr>
        <w:pStyle w:val="1020"/>
        <w:spacing w:line="360" w:lineRule="auto"/>
        <w:rPr>
          <w:rFonts w:ascii="宋体" w:hAnsi="宋体" w:cs="宋体"/>
          <w:szCs w:val="21"/>
        </w:rPr>
      </w:pPr>
      <w:r>
        <w:rPr>
          <w:rFonts w:hint="eastAsia" w:ascii="宋体" w:hAnsi="宋体" w:cs="宋体"/>
          <w:szCs w:val="21"/>
        </w:rPr>
        <w:t xml:space="preserve">5.5商务条款偏离表；</w:t>
      </w:r>
      <w:r/>
    </w:p>
    <w:p>
      <w:pPr>
        <w:pStyle w:val="1020"/>
        <w:spacing w:line="360" w:lineRule="auto"/>
        <w:rPr>
          <w:rFonts w:ascii="宋体" w:hAnsi="宋体" w:cs="宋体"/>
          <w:szCs w:val="21"/>
        </w:rPr>
      </w:pPr>
      <w:r>
        <w:rPr>
          <w:rFonts w:hint="eastAsia" w:ascii="宋体" w:hAnsi="宋体" w:cs="宋体"/>
          <w:szCs w:val="21"/>
        </w:rPr>
        <w:t xml:space="preserve">5.6投标（响应）保证承诺书；</w:t>
      </w:r>
      <w:r/>
    </w:p>
    <w:p>
      <w:pPr>
        <w:pStyle w:val="1020"/>
        <w:spacing w:line="360" w:lineRule="auto"/>
        <w:rPr>
          <w:rFonts w:ascii="宋体" w:hAnsi="宋体" w:cs="宋体"/>
          <w:szCs w:val="21"/>
        </w:rPr>
      </w:pPr>
      <w:r>
        <w:rPr>
          <w:rFonts w:hint="eastAsia" w:ascii="宋体" w:hAnsi="宋体" w:cs="宋体"/>
          <w:szCs w:val="21"/>
        </w:rPr>
        <w:t xml:space="preserve">5.7其他有关符合性证明的文件（包括采购需求中所要求提供的证明文件，如有要求）；</w:t>
      </w:r>
      <w:r/>
    </w:p>
    <w:p>
      <w:pPr>
        <w:pStyle w:val="78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6、综合评审响应文件（具体模块以系统生成为准）</w:t>
      </w:r>
      <w:r/>
    </w:p>
    <w:p>
      <w:pPr>
        <w:pStyle w:val="786"/>
        <w:spacing w:line="360" w:lineRule="auto"/>
        <w:rPr>
          <w:rFonts w:ascii="宋体" w:hAnsi="宋体" w:eastAsia="宋体" w:cs="宋体"/>
          <w:sz w:val="21"/>
          <w:szCs w:val="21"/>
          <w:lang w:val="zh-CN"/>
        </w:rPr>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.1针对本项目的</w:t>
      </w:r>
      <w:r>
        <w:rPr>
          <w:rFonts w:hint="eastAsia" w:ascii="宋体" w:hAnsi="宋体" w:eastAsia="宋体" w:cs="宋体"/>
          <w:sz w:val="21"/>
          <w:szCs w:val="21"/>
        </w:rPr>
        <w:t xml:space="preserve">项目实施</w:t>
      </w:r>
      <w:r>
        <w:rPr>
          <w:rFonts w:hint="eastAsia" w:ascii="宋体" w:hAnsi="宋体" w:eastAsia="宋体" w:cs="宋体"/>
          <w:sz w:val="21"/>
          <w:szCs w:val="21"/>
          <w:lang w:val="zh-CN"/>
        </w:rPr>
        <w:t xml:space="preserve">方案；</w:t>
      </w:r>
      <w:r/>
    </w:p>
    <w:p>
      <w:pPr>
        <w:pStyle w:val="786"/>
        <w:spacing w:line="360" w:lineRule="auto"/>
        <w:rPr>
          <w:rFonts w:ascii="宋体" w:hAnsi="宋体" w:eastAsia="宋体" w:cs="宋体"/>
          <w:sz w:val="21"/>
          <w:szCs w:val="21"/>
          <w:lang w:val="zh-CN"/>
        </w:rPr>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.2针对本项目的人员配置；</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6.3 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6.4 采购需求及评分标准中所涉及到的其他材料。</w:t>
      </w:r>
      <w:r/>
    </w:p>
    <w:p>
      <w:pPr>
        <w:pStyle w:val="78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7、价格折扣文件格式：本项目专门面向中小企业采购，无价格折扣。</w:t>
      </w:r>
      <w:r/>
    </w:p>
    <w:p>
      <w:pPr>
        <w:pStyle w:val="786"/>
        <w:ind w:firstLine="0"/>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（1）以上4.1-4.4为资格审查要求提供的材料，是作为对供应商资格审查、质疑身份认定的依据。未按要求提供的，磋商响应文件将被认定为不符合资格审查要求。</w:t>
      </w:r>
      <w:r/>
    </w:p>
    <w:p>
      <w:pPr>
        <w:pStyle w:val="786"/>
        <w:spacing w:line="360" w:lineRule="auto"/>
        <w:rPr>
          <w:rFonts w:ascii="宋体" w:hAnsi="宋体" w:eastAsia="宋体" w:cs="宋体"/>
          <w:sz w:val="21"/>
          <w:szCs w:val="21"/>
        </w:rPr>
      </w:pPr>
      <w:r>
        <w:rPr>
          <w:rFonts w:hint="eastAsia" w:ascii="宋体" w:hAnsi="宋体" w:eastAsia="宋体" w:cs="宋体"/>
          <w:b/>
          <w:bCs/>
          <w:sz w:val="21"/>
          <w:szCs w:val="21"/>
        </w:rPr>
        <w:t xml:space="preserve">（2）以上5.1-5.7为符合性审查须提供的资料。未按要求提供的，磋商响应文件将被认定为未实质性响应。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786"/>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786"/>
        <w:spacing w:line="360" w:lineRule="auto"/>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八、磋商程序</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786"/>
        <w:spacing w:line="360" w:lineRule="auto"/>
        <w:rPr>
          <w:rFonts w:ascii="宋体" w:hAnsi="宋体" w:eastAsia="宋体" w:cs="宋体"/>
          <w:bCs/>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5、由磋商小组对各响应单位的资格进行审查。资格审查内容包括：</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（1）供应商是否满足《中华人民共和国政府采购法》第二十二条规定的基本条件；</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（2）信用查询，现场审查供应商是否在参加政府采购活动前三年内，在经营活动中没有重大违法记录；</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（3）专门面向中小企业的项目，应当在资格审查环节对供应商出具的《中小企业声明函》进行审查；</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（4）接受联合体投标的项目，联合体各方是否满足采购文件规定并提交相应证明文件；</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（5）供应商是否满足采购文件规定的其他特定条件；</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（6）供应商是否存在其他不得参与该政府采购项目的情形。</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786"/>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7、磋商小组要求供应商澄清、说明或者更正响应文件应当以书面形式做出。供应商的澄清、说明或者更正应当由其单位加盖电子公章。</w:t>
      </w:r>
      <w:r/>
    </w:p>
    <w:p>
      <w:pPr>
        <w:pStyle w:val="973"/>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86"/>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78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8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78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九、综合说明</w:t>
      </w:r>
      <w:r/>
    </w:p>
    <w:p>
      <w:pPr>
        <w:ind w:firstLine="420"/>
        <w:spacing w:line="360" w:lineRule="auto"/>
        <w:rPr>
          <w:rFonts w:ascii="宋体" w:hAnsi="宋体" w:cs="宋体"/>
          <w:szCs w:val="21"/>
        </w:rPr>
      </w:pPr>
      <w:r>
        <w:rPr>
          <w:rFonts w:hint="eastAsia" w:ascii="宋体" w:hAnsi="宋体" w:cs="宋体"/>
          <w:szCs w:val="21"/>
        </w:rPr>
        <w:t xml:space="preserve">1、磋商响应报价包括</w:t>
      </w:r>
      <w:r>
        <w:rPr>
          <w:rFonts w:hint="eastAsia" w:asciiTheme="minorEastAsia" w:hAnsiTheme="minorEastAsia" w:eastAsiaTheme="minorEastAsia"/>
          <w:szCs w:val="21"/>
        </w:rPr>
        <w:t xml:space="preserve">完成本项目所需的一切费用</w:t>
      </w:r>
      <w:r>
        <w:rPr>
          <w:rFonts w:hint="eastAsia" w:ascii="宋体" w:hAnsi="宋体" w:cs="宋体"/>
          <w:szCs w:val="21"/>
        </w:rPr>
        <w:t xml:space="preserve">。磋商最后报价为最终报价，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含在磋商总报价中。</w:t>
      </w:r>
      <w:r/>
    </w:p>
    <w:p>
      <w:pPr>
        <w:ind w:firstLine="420"/>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3、磋商保证金：</w:t>
      </w:r>
      <w:r/>
    </w:p>
    <w:p>
      <w:pPr>
        <w:ind w:firstLine="422"/>
        <w:spacing w:line="360" w:lineRule="auto"/>
        <w:rPr>
          <w:rStyle w:val="1022"/>
          <w:rFonts w:ascii="宋体" w:hAnsi="宋体" w:cs="宋体"/>
          <w:b/>
          <w:szCs w:val="21"/>
        </w:rPr>
      </w:pPr>
      <w:r>
        <w:rPr>
          <w:rStyle w:val="1022"/>
          <w:rFonts w:ascii="Wingdings" w:hAnsi="Wingdings" w:eastAsia="Wingdings" w:cs="Wingdings"/>
          <w:b/>
          <w:szCs w:val="21"/>
        </w:rPr>
        <w:t xml:space="preserve"></w:t>
      </w:r>
      <w:r>
        <w:rPr>
          <w:rStyle w:val="1022"/>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4、成交服务费：</w:t>
      </w:r>
      <w:r>
        <w:rPr>
          <w:rStyle w:val="1022"/>
          <w:rFonts w:hint="eastAsia" w:ascii="宋体" w:hAnsi="宋体" w:cs="宋体"/>
          <w:szCs w:val="21"/>
        </w:rPr>
        <w:t xml:space="preserve">由成交单位按照预算金额计算并支付，具体为100万元以内1.5%、100万元～500万元以内1.1%差额定率累进法的60%计算并支付成交服务费，该费用应在领取成交通知书时付清。本项目成交服务费金额：</w:t>
      </w:r>
      <w:r>
        <w:rPr>
          <w:rFonts w:hint="eastAsia" w:ascii="宋体" w:hAnsi="宋体" w:cs="宋体"/>
          <w:szCs w:val="21"/>
        </w:rPr>
        <w:t xml:space="preserve">人民币壹万伍仟陆佰元整。</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  </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ind w:firstLine="420"/>
        <w:spacing w:line="360" w:lineRule="auto"/>
        <w:rPr>
          <w:rFonts w:ascii="宋体" w:hAnsi="宋体" w:cs="宋体"/>
          <w:bCs/>
          <w:szCs w:val="21"/>
        </w:rPr>
      </w:pPr>
      <w:r>
        <w:rPr>
          <w:rFonts w:hint="eastAsia" w:ascii="宋体" w:hAnsi="宋体" w:cs="宋体"/>
          <w:bCs/>
          <w:szCs w:val="21"/>
        </w:rPr>
        <w:t xml:space="preserve">5、磋商说明：</w:t>
      </w:r>
      <w:r/>
    </w:p>
    <w:p>
      <w:pPr>
        <w:ind w:firstLine="420"/>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w:t>
      </w:r>
      <w:r>
        <w:rPr>
          <w:rFonts w:hint="eastAsia" w:ascii="宋体" w:hAnsi="宋体" w:cs="宋体"/>
          <w:b/>
          <w:bCs/>
          <w:szCs w:val="21"/>
        </w:rPr>
        <w:t xml:space="preserve">不接受联合体投标</w:t>
      </w:r>
      <w:r>
        <w:rPr>
          <w:rFonts w:hint="eastAsia" w:ascii="宋体" w:hAnsi="宋体" w:cs="宋体"/>
          <w:b/>
          <w:bCs/>
          <w:szCs w:val="21"/>
          <w:lang w:val="zh-CN"/>
        </w:rPr>
        <w:t xml:space="preserve">。</w:t>
      </w:r>
      <w:r/>
    </w:p>
    <w:p>
      <w:pPr>
        <w:pStyle w:val="1020"/>
        <w:numPr>
          <w:ilvl w:val="0"/>
          <w:numId w:val="4"/>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020"/>
        <w:numPr>
          <w:ilvl w:val="0"/>
          <w:numId w:val="4"/>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1020"/>
        <w:numPr>
          <w:ilvl w:val="0"/>
          <w:numId w:val="4"/>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020"/>
        <w:numPr>
          <w:ilvl w:val="0"/>
          <w:numId w:val="4"/>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10" w:name="_Hlk132385599"/>
      <w:r/>
      <w:bookmarkStart w:id="11" w:name="_Hlk132385577"/>
      <w:r/>
      <w:bookmarkStart w:id="12" w:name="_Hlk132389804"/>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10"/>
      <w:r/>
      <w:bookmarkEnd w:id="11"/>
      <w:r/>
      <w:bookmarkEnd w:id="12"/>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10、成交供应商除发生法律规定的不能预见、不能避免并不能克服的客观情况外不得放弃或拒绝签订合同的。放弃或拒绝签订合同的，采购单位视情将其通报给财政部门。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11、采购合同履行中，采购单位需追加与合同标的相同的服务的，在不改变合同其他条款的前提下，可以与成交供应商协商签订补充合同，但所有补充合同的项目金额不得超过原合同项目金额的百分之十。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12、成交供应商拒绝签订采购合同的，或因不可抗力或者自身原因不能履行采购合同的，采购单位可以视情与排位在成交供应商之后第一位的成交候选供应商签订采购合同，也可以重新开展招标活动。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13、质疑处理</w:t>
      </w:r>
      <w:r/>
    </w:p>
    <w:p>
      <w:pPr>
        <w:pStyle w:val="786"/>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78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786"/>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质疑联系人：路丽丽  潘莉莉  朱晓芹 </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联系电话：0512-65238816</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现场递交地址：苏州市干将西路399号银海大厦303室</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14、相关政策（如涉及）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苏州市政府采购促进中小企业发展实施意见〉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小型企业、微型企业的投标报价扣除20%后参与评审。</w:t>
      </w:r>
      <w:r>
        <w:rPr>
          <w:rFonts w:hint="eastAsia" w:ascii="宋体" w:hAnsi="宋体" w:cs="宋体"/>
          <w:b/>
        </w:rPr>
        <w:t xml:space="preserve">《中小企业声明函》中所填的行业应与本采购标的对应</w:t>
      </w:r>
      <w:r>
        <w:rPr>
          <w:rFonts w:hint="eastAsia" w:ascii="宋体" w:hAnsi="宋体" w:cs="宋体"/>
          <w:b/>
        </w:rPr>
        <w:t xml:space="preserve">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b/>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w:t>
      </w:r>
      <w:r>
        <w:rPr>
          <w:rFonts w:hint="eastAsia" w:ascii="宋体" w:hAnsi="宋体" w:cs="宋体"/>
        </w:rPr>
        <w:t xml:space="preserve">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ascii="宋体" w:hAnsi="宋体" w:cs="宋体"/>
        </w:rPr>
      </w:pPr>
      <w:r>
        <w:rPr>
          <w:rFonts w:hint="eastAsia" w:ascii="宋体" w:hAnsi="宋体" w:cs="宋体"/>
        </w:rPr>
        <w:t xml:space="preserve">（6）根据《苏财购〔2025〕62号》文，评审委员会启动异常低价投标（响应）审查的情形和具体要求，包括：</w:t>
      </w:r>
      <w:r/>
    </w:p>
    <w:p>
      <w:pPr>
        <w:ind w:firstLine="420"/>
        <w:spacing w:line="360" w:lineRule="auto"/>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rPr>
          <w:rFonts w:ascii="宋体" w:hAnsi="宋体" w:cs="宋体"/>
        </w:rPr>
      </w:pPr>
      <w:r>
        <w:rPr>
          <w:rFonts w:hint="eastAsia" w:ascii="宋体" w:hAnsi="宋体" w:cs="宋体"/>
        </w:rPr>
        <w:t xml:space="preserve">（1）投标（响应）报价低于采购项目预算50%的，即投标（响应）报价&lt;采购项目预算×50%；</w:t>
      </w:r>
      <w:r/>
    </w:p>
    <w:p>
      <w:pPr>
        <w:ind w:firstLine="420"/>
        <w:spacing w:line="360" w:lineRule="auto"/>
        <w:rPr>
          <w:rFonts w:ascii="宋体" w:hAnsi="宋体" w:cs="宋体"/>
        </w:rPr>
      </w:pPr>
      <w:r>
        <w:rPr>
          <w:rFonts w:hint="eastAsia" w:ascii="宋体" w:hAnsi="宋体" w:cs="宋体"/>
        </w:rPr>
        <w:t xml:space="preserve">（2）投标（响应）报价低于采购项目最高限价45%的，即投标（响应）报价&lt;采购项目最高限价×45%；</w:t>
      </w:r>
      <w:r/>
    </w:p>
    <w:p>
      <w:pPr>
        <w:ind w:firstLine="420"/>
        <w:spacing w:line="360" w:lineRule="auto"/>
        <w:rPr>
          <w:rFonts w:ascii="宋体" w:hAnsi="宋体" w:cs="宋体"/>
        </w:rPr>
      </w:pPr>
      <w:r>
        <w:rPr>
          <w:rFonts w:hint="eastAsia" w:ascii="宋体" w:hAnsi="宋体" w:cs="宋体"/>
        </w:rPr>
        <w:t xml:space="preserve">（3）评审委员会认定的供应商报价过低、有可能影响产品质量或者不能诚信履约的其他情形。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rPr>
        <w:t xml:space="preserve">B、启动异常低价投标（响应）审查后，评审委员会应当要求相关供应商在苏采云系统中设置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86"/>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786"/>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（6）法律、法规和招标（采购）文件规定的其他无效情形。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成交候选单位，采购人书面授权现场确定成交单位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ind w:firstLine="480"/>
        <w:spacing w:line="360" w:lineRule="auto"/>
        <w:rPr>
          <w:rFonts w:ascii="宋体" w:hAnsi="宋体" w:cs="Arial Unicode MS"/>
          <w:b/>
          <w:szCs w:val="21"/>
        </w:rPr>
      </w:pPr>
      <w:r>
        <w:rPr>
          <w:rFonts w:hint="eastAsia" w:ascii="宋体" w:hAnsi="宋体" w:cs="Arial Unicode MS"/>
          <w:b/>
          <w:szCs w:val="21"/>
        </w:rPr>
        <w:t xml:space="preserve">本项目商务报价按照政府相关文件定价要求，执行统一价格标准（见分项报价表），其价格不列为评分因素；不允许响应单位自行更改报价，响应单位填报价格必须等于磋商文件格式中价格约定，否则视为非实质响应，按无效磋商处理。</w:t>
      </w:r>
      <w:r/>
    </w:p>
    <w:p>
      <w:pPr>
        <w:ind w:firstLine="420"/>
        <w:jc w:val="left"/>
        <w:spacing w:line="360" w:lineRule="auto"/>
        <w:widowControl/>
        <w:rPr>
          <w:rFonts w:ascii="宋体" w:hAnsi="宋体" w:cs="宋体"/>
          <w:b/>
          <w:bCs/>
          <w:szCs w:val="21"/>
          <w:lang w:val="zh-CN"/>
        </w:rPr>
      </w:pPr>
      <w:r>
        <w:rPr>
          <w:rFonts w:hint="eastAsia" w:ascii="宋体" w:hAnsi="宋体"/>
          <w:b/>
          <w:bCs/>
          <w:szCs w:val="21"/>
        </w:rPr>
        <w:t xml:space="preserve">（一）</w:t>
      </w:r>
      <w:r>
        <w:rPr>
          <w:rFonts w:hint="eastAsia" w:ascii="宋体" w:hAnsi="宋体" w:cs="宋体"/>
          <w:b/>
          <w:bCs/>
          <w:szCs w:val="21"/>
        </w:rPr>
        <w:t xml:space="preserve">组织实施方案</w:t>
      </w:r>
      <w:r>
        <w:rPr>
          <w:rFonts w:hint="eastAsia" w:ascii="宋体" w:hAnsi="宋体" w:cs="宋体"/>
          <w:b/>
          <w:bCs/>
          <w:szCs w:val="21"/>
          <w:lang w:val="zh-CN"/>
        </w:rPr>
        <w:t xml:space="preserve">：</w:t>
      </w:r>
      <w:r>
        <w:rPr>
          <w:rFonts w:hint="eastAsia" w:ascii="宋体" w:hAnsi="宋体" w:cs="宋体"/>
          <w:b/>
          <w:bCs/>
          <w:szCs w:val="21"/>
        </w:rPr>
        <w:t xml:space="preserve">66</w:t>
      </w:r>
      <w:r>
        <w:rPr>
          <w:rFonts w:hint="eastAsia" w:ascii="宋体" w:hAnsi="宋体" w:cs="宋体"/>
          <w:b/>
          <w:bCs/>
          <w:szCs w:val="21"/>
          <w:lang w:val="zh-CN"/>
        </w:rPr>
        <w:t xml:space="preserve">分</w:t>
      </w:r>
      <w:r/>
    </w:p>
    <w:p>
      <w:pPr>
        <w:ind w:firstLine="360"/>
        <w:jc w:val="left"/>
        <w:spacing w:line="360" w:lineRule="auto"/>
        <w:widowControl/>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b/>
          <w:bCs/>
          <w:szCs w:val="21"/>
          <w:lang w:val="zh-CN"/>
        </w:rPr>
        <w:t xml:space="preserve">农药配送运行管理工作实施方案（1</w:t>
      </w:r>
      <w:r>
        <w:rPr>
          <w:rFonts w:ascii="宋体" w:hAnsi="宋体" w:cs="宋体"/>
          <w:b/>
          <w:bCs/>
          <w:szCs w:val="21"/>
          <w:lang w:val="zh-CN"/>
        </w:rPr>
        <w:t xml:space="preserve">2</w:t>
      </w:r>
      <w:r>
        <w:rPr>
          <w:rFonts w:hint="eastAsia" w:ascii="宋体" w:hAnsi="宋体" w:cs="宋体"/>
          <w:b/>
          <w:bCs/>
          <w:szCs w:val="21"/>
          <w:lang w:val="zh-CN"/>
        </w:rPr>
        <w:t xml:space="preserve">分）</w:t>
      </w:r>
      <w:r/>
    </w:p>
    <w:p>
      <w:pPr>
        <w:ind w:firstLine="360"/>
        <w:jc w:val="left"/>
        <w:spacing w:line="360" w:lineRule="auto"/>
        <w:widowControl/>
        <w:rPr>
          <w:rFonts w:ascii="宋体" w:hAnsi="宋体" w:cs="宋体"/>
          <w:b/>
          <w:bCs/>
          <w:szCs w:val="21"/>
        </w:rPr>
      </w:pPr>
      <w:r>
        <w:rPr>
          <w:rFonts w:hint="eastAsia" w:ascii="宋体" w:hAnsi="宋体" w:cs="宋体"/>
          <w:szCs w:val="21"/>
        </w:rPr>
        <w:t xml:space="preserve">实施方案内容描述有针对性的，满足采购需求的基础上，提供的方案内容与本项目更加匹配、更科学的，得12分；方案内容完全符合采购需求的，描述</w:t>
      </w:r>
      <w:r>
        <w:rPr>
          <w:rFonts w:hint="eastAsia" w:ascii="宋体" w:hAnsi="宋体"/>
          <w:szCs w:val="21"/>
        </w:rPr>
        <w:t xml:space="preserve">思路清晰、内容完整、可行性强的，得</w:t>
      </w:r>
      <w:r>
        <w:rPr>
          <w:rFonts w:hint="eastAsia" w:ascii="宋体" w:hAnsi="宋体" w:cs="宋体"/>
          <w:szCs w:val="21"/>
        </w:rPr>
        <w:t xml:space="preserve"> 8分；方案内容与采购需求基本一致的，内容描述相对简单的，得4分；实施方案内容针对性差、可行性差、科学合理性差的得2分；未提供相关内容的不得分。</w:t>
      </w:r>
      <w:r/>
    </w:p>
    <w:p>
      <w:pPr>
        <w:ind w:firstLine="422"/>
        <w:jc w:val="left"/>
        <w:spacing w:line="360" w:lineRule="auto"/>
        <w:widowControl/>
        <w:rPr>
          <w:rFonts w:ascii="宋体" w:hAnsi="宋体" w:cs="宋体"/>
          <w:b/>
          <w:bCs/>
          <w:szCs w:val="21"/>
          <w:lang w:val="zh-CN"/>
        </w:rPr>
      </w:pPr>
      <w:r>
        <w:rPr>
          <w:rFonts w:hint="eastAsia" w:ascii="宋体" w:hAnsi="宋体" w:cs="宋体"/>
          <w:b/>
          <w:bCs/>
          <w:szCs w:val="21"/>
        </w:rPr>
        <w:t xml:space="preserve">2.</w:t>
      </w:r>
      <w:r>
        <w:rPr>
          <w:rFonts w:hint="eastAsia" w:ascii="宋体" w:hAnsi="宋体" w:cs="宋体"/>
          <w:b/>
          <w:bCs/>
          <w:szCs w:val="21"/>
          <w:lang w:val="zh-CN"/>
        </w:rPr>
        <w:t xml:space="preserve">包装废弃物回收处置实施方案（5分）</w:t>
      </w:r>
      <w:r/>
    </w:p>
    <w:p>
      <w:pPr>
        <w:ind w:firstLine="480"/>
        <w:jc w:val="left"/>
        <w:spacing w:line="360" w:lineRule="auto"/>
        <w:widowControl/>
        <w:rPr>
          <w:rFonts w:ascii="宋体" w:hAnsi="宋体" w:cs="宋体"/>
          <w:szCs w:val="21"/>
        </w:rPr>
      </w:pPr>
      <w:r>
        <w:rPr>
          <w:rFonts w:hint="eastAsia" w:ascii="宋体" w:hAnsi="宋体" w:cs="宋体"/>
          <w:szCs w:val="21"/>
        </w:rPr>
        <w:t xml:space="preserve">实施方案内容描述有针对性的，满足采购需求的基础上，提供的方案内容与本项目更加匹配、更科学的，得5分；方案内容完全符合采购需求的，描述思路清晰、内容完整、可行性强的，得 3分；方案内容与采购需求基本一致的，内容描述相对简单的，得2分；实施方案内容针对性差、可行性差、科学合理性差的，得1分；未提供相关内容的不得分。</w:t>
      </w:r>
      <w:r/>
    </w:p>
    <w:p>
      <w:pPr>
        <w:ind w:firstLine="422"/>
        <w:jc w:val="left"/>
        <w:spacing w:line="360" w:lineRule="auto"/>
        <w:widowControl/>
        <w:rPr>
          <w:rFonts w:ascii="宋体" w:hAnsi="宋体" w:cs="宋体"/>
          <w:b/>
          <w:bCs/>
          <w:szCs w:val="21"/>
          <w:lang w:val="zh-CN"/>
        </w:rPr>
      </w:pPr>
      <w:r>
        <w:rPr>
          <w:rFonts w:hint="eastAsia" w:ascii="宋体" w:hAnsi="宋体" w:cs="宋体"/>
          <w:b/>
          <w:bCs/>
          <w:szCs w:val="21"/>
        </w:rPr>
        <w:t xml:space="preserve">3.</w:t>
      </w:r>
      <w:r>
        <w:rPr>
          <w:rFonts w:hint="eastAsia" w:ascii="宋体" w:hAnsi="宋体" w:cs="宋体"/>
          <w:b/>
          <w:bCs/>
          <w:szCs w:val="21"/>
          <w:lang w:val="zh-CN"/>
        </w:rPr>
        <w:t xml:space="preserve">地膜回收处置实施方案（5分）</w:t>
      </w:r>
      <w:r/>
    </w:p>
    <w:p>
      <w:pPr>
        <w:ind w:firstLine="480"/>
        <w:jc w:val="left"/>
        <w:spacing w:line="360" w:lineRule="auto"/>
        <w:widowControl/>
        <w:rPr>
          <w:rFonts w:ascii="宋体" w:hAnsi="宋体" w:cs="宋体"/>
          <w:szCs w:val="21"/>
        </w:rPr>
      </w:pPr>
      <w:r>
        <w:rPr>
          <w:rFonts w:hint="eastAsia" w:ascii="宋体" w:hAnsi="宋体" w:cs="宋体"/>
          <w:szCs w:val="21"/>
        </w:rPr>
        <w:t xml:space="preserve">处置实施方案内容描述有针对性的，满足采购需求的基础上，提供的方案内容与本项目更加匹配、更科学的，得5分；方案内容完全符合采购需求的，描述思路清晰、内容完整、可行性强的，得3分；方案内容与采购需求基本一致的，内容描述相对简单的，得2分；实施方案内容针对性差、可行性差、科学合理性差的，得1分；未提供相关内容的不得分。</w:t>
      </w:r>
      <w:r/>
    </w:p>
    <w:p>
      <w:pPr>
        <w:ind w:firstLine="422"/>
        <w:jc w:val="left"/>
        <w:spacing w:line="360" w:lineRule="auto"/>
        <w:widowControl/>
        <w:rPr>
          <w:rFonts w:ascii="宋体" w:hAnsi="宋体" w:cs="宋体"/>
          <w:b/>
          <w:bCs/>
          <w:szCs w:val="21"/>
          <w:lang w:val="zh-CN"/>
        </w:rPr>
      </w:pPr>
      <w:r>
        <w:rPr>
          <w:rFonts w:hint="eastAsia" w:ascii="宋体" w:hAnsi="宋体" w:cs="宋体"/>
          <w:b/>
          <w:bCs/>
          <w:szCs w:val="21"/>
        </w:rPr>
        <w:t xml:space="preserve">4.</w:t>
      </w:r>
      <w:r>
        <w:rPr>
          <w:rFonts w:hint="eastAsia" w:ascii="宋体" w:hAnsi="宋体" w:cs="宋体"/>
          <w:b/>
          <w:bCs/>
          <w:szCs w:val="21"/>
          <w:lang w:val="zh-CN"/>
        </w:rPr>
        <w:t xml:space="preserve">农药配送运行管理服务工作管理标准和措施（5分）</w:t>
      </w:r>
      <w:r/>
    </w:p>
    <w:p>
      <w:pPr>
        <w:ind w:firstLine="480"/>
        <w:jc w:val="left"/>
        <w:spacing w:line="360" w:lineRule="auto"/>
        <w:widowControl/>
        <w:rPr>
          <w:rFonts w:ascii="宋体" w:hAnsi="宋体" w:cs="宋体"/>
          <w:szCs w:val="21"/>
        </w:rPr>
      </w:pPr>
      <w:r/>
      <w:bookmarkStart w:id="13" w:name="_Hlk181863865"/>
      <w:r>
        <w:rPr>
          <w:rFonts w:hint="eastAsia" w:ascii="宋体" w:hAnsi="宋体" w:cs="宋体"/>
          <w:szCs w:val="21"/>
        </w:rPr>
        <w:t xml:space="preserve">服务内容说明，描述要思路清晰、内容完整、可落地，优于采购文件要求的，得5分；思路清晰、内容完整、可行性强，得3分；管理标准和措施内容描述思路较清晰、内容较完整、可行性</w:t>
      </w:r>
      <w:r>
        <w:rPr>
          <w:rFonts w:hint="eastAsia" w:ascii="宋体" w:hAnsi="宋体" w:cs="宋体"/>
          <w:szCs w:val="21"/>
        </w:rPr>
        <w:t xml:space="preserve">较好，得2分；方案内容与采购需求基本一致的，内容描述相对简单的，得1分；未提供相关内容的不得分。</w:t>
      </w:r>
      <w:bookmarkEnd w:id="13"/>
      <w:r/>
      <w:r/>
    </w:p>
    <w:p>
      <w:pPr>
        <w:ind w:firstLine="480"/>
        <w:jc w:val="left"/>
        <w:spacing w:line="360" w:lineRule="auto"/>
        <w:widowControl/>
        <w:rPr>
          <w:rFonts w:ascii="宋体" w:hAnsi="宋体" w:cs="宋体"/>
          <w:b/>
          <w:bCs/>
          <w:szCs w:val="21"/>
          <w:lang w:val="zh-CN"/>
        </w:rPr>
      </w:pPr>
      <w:r>
        <w:rPr>
          <w:rFonts w:hint="eastAsia" w:ascii="宋体" w:hAnsi="宋体" w:cs="宋体"/>
          <w:b/>
          <w:bCs/>
          <w:szCs w:val="21"/>
        </w:rPr>
        <w:t xml:space="preserve">5.</w:t>
      </w:r>
      <w:r>
        <w:rPr>
          <w:rFonts w:hint="eastAsia" w:ascii="宋体" w:hAnsi="宋体" w:cs="宋体"/>
          <w:b/>
          <w:bCs/>
          <w:szCs w:val="21"/>
          <w:lang w:val="zh-CN"/>
        </w:rPr>
        <w:t xml:space="preserve">包装废弃物和地膜回收处置工作管理标准和措施（5分）</w:t>
      </w:r>
      <w:r/>
    </w:p>
    <w:p>
      <w:pPr>
        <w:ind w:firstLine="480"/>
        <w:jc w:val="left"/>
        <w:spacing w:line="360" w:lineRule="auto"/>
        <w:widowControl/>
        <w:rPr>
          <w:rFonts w:ascii="宋体" w:hAnsi="宋体" w:cs="宋体"/>
          <w:szCs w:val="21"/>
        </w:rPr>
      </w:pPr>
      <w:r>
        <w:rPr>
          <w:rFonts w:hint="eastAsia" w:ascii="宋体" w:hAnsi="宋体" w:cs="宋体"/>
          <w:szCs w:val="21"/>
        </w:rPr>
        <w:t xml:space="preserve">服务内容说明，描述要思路清晰、内容完整、可落地，优于采购文件要求的，得5分；思路清晰、内容完整、可行性强的，得3分；管理标准和措施内容描述思路较清晰、内容较完整、可行性较好的，得2分；方案内容与采购需求基本一致的，内容描述相对简单的，得1分；未提供相关内容的不得分。</w:t>
      </w:r>
      <w:r/>
    </w:p>
    <w:p>
      <w:pPr>
        <w:ind w:firstLine="420"/>
        <w:jc w:val="left"/>
        <w:spacing w:line="360" w:lineRule="auto"/>
        <w:widowControl/>
        <w:rPr>
          <w:rFonts w:ascii="宋体" w:hAnsi="宋体" w:cs="宋体"/>
          <w:b/>
          <w:bCs/>
          <w:szCs w:val="21"/>
          <w:lang w:val="zh-CN"/>
        </w:rPr>
      </w:pPr>
      <w:r>
        <w:rPr>
          <w:rFonts w:hint="eastAsia" w:ascii="宋体" w:hAnsi="宋体" w:cs="宋体"/>
          <w:b/>
          <w:bCs/>
          <w:szCs w:val="21"/>
        </w:rPr>
        <w:t xml:space="preserve">6</w:t>
      </w:r>
      <w:r>
        <w:rPr>
          <w:rFonts w:hint="eastAsia" w:ascii="宋体" w:hAnsi="宋体" w:cs="宋体"/>
          <w:b/>
          <w:bCs/>
          <w:szCs w:val="21"/>
          <w:lang w:val="zh-CN"/>
        </w:rPr>
        <w:t xml:space="preserve">、服务保障承诺书：</w:t>
      </w:r>
      <w:r>
        <w:rPr>
          <w:rFonts w:ascii="宋体" w:hAnsi="宋体" w:cs="宋体"/>
          <w:b/>
          <w:bCs/>
          <w:szCs w:val="21"/>
          <w:lang w:val="zh-CN"/>
        </w:rPr>
        <w:t xml:space="preserve">6</w:t>
      </w:r>
      <w:r>
        <w:rPr>
          <w:rFonts w:hint="eastAsia" w:ascii="宋体" w:hAnsi="宋体" w:cs="宋体"/>
          <w:b/>
          <w:bCs/>
          <w:szCs w:val="21"/>
          <w:lang w:val="zh-CN"/>
        </w:rPr>
        <w:t xml:space="preserve">分</w:t>
      </w:r>
      <w:r/>
    </w:p>
    <w:p>
      <w:pPr>
        <w:ind w:firstLine="480"/>
        <w:jc w:val="left"/>
        <w:spacing w:line="360" w:lineRule="auto"/>
        <w:widowControl/>
        <w:rPr>
          <w:rFonts w:ascii="宋体" w:hAnsi="宋体" w:cs="宋体"/>
          <w:szCs w:val="21"/>
        </w:rPr>
      </w:pPr>
      <w:r>
        <w:rPr>
          <w:rFonts w:hint="eastAsia" w:ascii="宋体" w:hAnsi="宋体" w:cs="宋体"/>
          <w:szCs w:val="21"/>
        </w:rPr>
        <w:t xml:space="preserve">服务保障承诺书全面、可行性强的，得6分；服务保障承诺书较全面、可行性较强的，得4分；服务保障承诺书全面性一般、可行性一般的，得2分；服务保障承诺书全面性差、可行性差的，得1分；未提供相关内容的不得分。</w:t>
      </w:r>
      <w:r/>
    </w:p>
    <w:p>
      <w:pPr>
        <w:ind w:firstLine="482"/>
        <w:jc w:val="left"/>
        <w:spacing w:line="360" w:lineRule="auto"/>
        <w:widowControl/>
        <w:rPr>
          <w:rFonts w:ascii="宋体" w:hAnsi="宋体" w:cs="宋体"/>
          <w:b/>
          <w:szCs w:val="21"/>
          <w:lang w:val="zh-CN"/>
        </w:rPr>
      </w:pPr>
      <w:r>
        <w:rPr>
          <w:rFonts w:hint="eastAsia" w:ascii="宋体" w:hAnsi="宋体" w:cs="宋体"/>
          <w:b/>
          <w:szCs w:val="21"/>
        </w:rPr>
        <w:t xml:space="preserve">7、</w:t>
      </w:r>
      <w:r>
        <w:rPr>
          <w:rFonts w:hint="eastAsia" w:ascii="宋体" w:hAnsi="宋体" w:cs="宋体"/>
          <w:b/>
          <w:szCs w:val="21"/>
          <w:lang w:val="zh-CN"/>
        </w:rPr>
        <w:t xml:space="preserve">用于本项目的设备设施情况：5分</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设备设施全面、先进性强的，得</w:t>
      </w:r>
      <w:r>
        <w:rPr>
          <w:rFonts w:hint="eastAsia" w:ascii="宋体" w:hAnsi="宋体" w:cs="宋体"/>
          <w:szCs w:val="21"/>
        </w:rPr>
        <w:t xml:space="preserve">5分；</w:t>
      </w:r>
      <w:r>
        <w:rPr>
          <w:rFonts w:hint="eastAsia" w:ascii="宋体" w:hAnsi="宋体" w:cs="宋体"/>
          <w:szCs w:val="21"/>
          <w:lang w:val="zh-CN"/>
        </w:rPr>
        <w:t xml:space="preserve">设备设施较全面、先进性较强的，得</w:t>
      </w:r>
      <w:r>
        <w:rPr>
          <w:rFonts w:hint="eastAsia" w:ascii="宋体" w:hAnsi="宋体" w:cs="宋体"/>
          <w:szCs w:val="21"/>
        </w:rPr>
        <w:t xml:space="preserve">3分；</w:t>
      </w:r>
      <w:r>
        <w:rPr>
          <w:rFonts w:hint="eastAsia" w:ascii="宋体" w:hAnsi="宋体" w:cs="宋体"/>
          <w:szCs w:val="21"/>
          <w:lang w:val="zh-CN"/>
        </w:rPr>
        <w:t xml:space="preserve">设备设施全面性一般、先进性一般的，得</w:t>
      </w:r>
      <w:r>
        <w:rPr>
          <w:rFonts w:hint="eastAsia" w:ascii="宋体" w:hAnsi="宋体" w:cs="宋体"/>
          <w:szCs w:val="21"/>
        </w:rPr>
        <w:t xml:space="preserve">2分；</w:t>
      </w:r>
      <w:r>
        <w:rPr>
          <w:rFonts w:hint="eastAsia" w:ascii="宋体" w:hAnsi="宋体" w:cs="宋体"/>
          <w:szCs w:val="21"/>
          <w:lang w:val="zh-CN"/>
        </w:rPr>
        <w:t xml:space="preserve">设备设施全面性差、先进性差的，得</w:t>
      </w:r>
      <w:r>
        <w:rPr>
          <w:rFonts w:hint="eastAsia" w:ascii="宋体" w:hAnsi="宋体" w:cs="宋体"/>
          <w:szCs w:val="21"/>
        </w:rPr>
        <w:t xml:space="preserve">1分；未提供相关内容的不得分。</w:t>
      </w:r>
      <w:r/>
    </w:p>
    <w:p>
      <w:pPr>
        <w:ind w:firstLine="482"/>
        <w:jc w:val="left"/>
        <w:spacing w:line="360" w:lineRule="auto"/>
        <w:widowControl/>
        <w:rPr>
          <w:rFonts w:ascii="宋体" w:hAnsi="宋体" w:cs="宋体"/>
          <w:b/>
          <w:szCs w:val="21"/>
          <w:lang w:val="zh-CN"/>
        </w:rPr>
      </w:pPr>
      <w:r>
        <w:rPr>
          <w:rFonts w:hint="eastAsia" w:ascii="宋体" w:hAnsi="宋体" w:cs="宋体"/>
          <w:b/>
          <w:szCs w:val="21"/>
        </w:rPr>
        <w:t xml:space="preserve">8、方案电子化，</w:t>
      </w:r>
      <w:r>
        <w:rPr>
          <w:rFonts w:ascii="宋体" w:hAnsi="宋体" w:cs="宋体"/>
          <w:b/>
          <w:szCs w:val="21"/>
          <w:lang w:val="zh-CN"/>
        </w:rPr>
        <w:t xml:space="preserve">10</w:t>
      </w:r>
      <w:r>
        <w:rPr>
          <w:rFonts w:hint="eastAsia" w:ascii="宋体" w:hAnsi="宋体" w:cs="宋体"/>
          <w:b/>
          <w:szCs w:val="21"/>
          <w:lang w:val="zh-CN"/>
        </w:rPr>
        <w:t xml:space="preserve">分</w:t>
      </w:r>
      <w:r>
        <w:rPr>
          <w:rFonts w:hint="eastAsia" w:ascii="宋体" w:hAnsi="宋体" w:cs="宋体"/>
          <w:b/>
          <w:szCs w:val="21"/>
        </w:rPr>
        <w:t xml:space="preserve">：要求农药物资流通各环节应用的智能化、信息化的完善性比较；对各镇级配送站点智能化系统软硬件的维护管理的合理性、实用性方案情况。</w:t>
      </w:r>
      <w:r/>
    </w:p>
    <w:p>
      <w:pPr>
        <w:ind w:firstLine="480"/>
        <w:jc w:val="left"/>
        <w:spacing w:line="360" w:lineRule="auto"/>
        <w:widowControl/>
        <w:rPr>
          <w:rFonts w:ascii="宋体" w:hAnsi="宋体" w:cs="宋体"/>
          <w:szCs w:val="21"/>
        </w:rPr>
      </w:pPr>
      <w:r>
        <w:rPr>
          <w:rFonts w:hint="eastAsia" w:ascii="宋体" w:hAnsi="宋体" w:cs="宋体"/>
          <w:szCs w:val="21"/>
        </w:rPr>
        <w:t xml:space="preserve">各环节应用的智能化、信息化的完善性强、维护管理的合理性及实用性强的，得10分</w:t>
      </w:r>
      <w:r>
        <w:rPr>
          <w:rFonts w:hint="eastAsia" w:ascii="宋体" w:hAnsi="宋体" w:cs="宋体"/>
          <w:szCs w:val="21"/>
          <w:lang w:val="zh-CN"/>
        </w:rPr>
        <w:t xml:space="preserve">；</w:t>
      </w:r>
      <w:r>
        <w:rPr>
          <w:rFonts w:hint="eastAsia" w:ascii="宋体" w:hAnsi="宋体" w:cs="宋体"/>
          <w:szCs w:val="21"/>
        </w:rPr>
        <w:t xml:space="preserve">各环节应用的智能化、信息化的完善性较强、维护管理的合理性及实用性较强的，得7分；各环节应用的智能化、信息化的完善性较一般、维护管理的合理性及实用性一般的，得4分；各环节应用的智能化、信息化的完善性差、维护管理的合理性及实用性差的，得1分；未提供相关内容的不得分。</w:t>
      </w:r>
      <w:r/>
    </w:p>
    <w:p>
      <w:pPr>
        <w:ind w:firstLine="482"/>
        <w:jc w:val="left"/>
        <w:spacing w:line="360" w:lineRule="auto"/>
        <w:widowControl/>
        <w:rPr>
          <w:rFonts w:ascii="宋体" w:hAnsi="宋体" w:cs="宋体"/>
          <w:b/>
          <w:szCs w:val="21"/>
        </w:rPr>
      </w:pPr>
      <w:r>
        <w:rPr>
          <w:rFonts w:hint="eastAsia" w:ascii="宋体" w:hAnsi="宋体" w:cs="宋体"/>
          <w:b/>
          <w:szCs w:val="21"/>
        </w:rPr>
        <w:t xml:space="preserve">9、内部管理制度情况</w:t>
      </w:r>
      <w:r>
        <w:rPr>
          <w:rFonts w:hint="eastAsia" w:ascii="宋体" w:hAnsi="宋体" w:cs="宋体"/>
          <w:b/>
          <w:szCs w:val="21"/>
          <w:lang w:val="zh-CN"/>
        </w:rPr>
        <w:t xml:space="preserve">：5分</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内部管理制度全面、可行性强的，得</w:t>
      </w:r>
      <w:r>
        <w:rPr>
          <w:rFonts w:hint="eastAsia" w:ascii="宋体" w:hAnsi="宋体" w:cs="宋体"/>
          <w:szCs w:val="21"/>
        </w:rPr>
        <w:t xml:space="preserve">5分；</w:t>
      </w:r>
      <w:r>
        <w:rPr>
          <w:rFonts w:hint="eastAsia" w:ascii="宋体" w:hAnsi="宋体" w:cs="宋体"/>
          <w:szCs w:val="21"/>
          <w:lang w:val="zh-CN"/>
        </w:rPr>
        <w:t xml:space="preserve">内部管理制度较全面、可行性较强的，得</w:t>
      </w:r>
      <w:r>
        <w:rPr>
          <w:rFonts w:hint="eastAsia" w:ascii="宋体" w:hAnsi="宋体" w:cs="宋体"/>
          <w:szCs w:val="21"/>
        </w:rPr>
        <w:t xml:space="preserve">3分；</w:t>
      </w:r>
      <w:r>
        <w:rPr>
          <w:rFonts w:hint="eastAsia" w:ascii="宋体" w:hAnsi="宋体" w:cs="宋体"/>
          <w:szCs w:val="21"/>
          <w:lang w:val="zh-CN"/>
        </w:rPr>
        <w:t xml:space="preserve">内部管理制度全面性一般、可行性一般的，得</w:t>
      </w:r>
      <w:r>
        <w:rPr>
          <w:rFonts w:hint="eastAsia" w:ascii="宋体" w:hAnsi="宋体" w:cs="宋体"/>
          <w:szCs w:val="21"/>
        </w:rPr>
        <w:t xml:space="preserve">2分；</w:t>
      </w:r>
      <w:r>
        <w:rPr>
          <w:rFonts w:hint="eastAsia" w:ascii="宋体" w:hAnsi="宋体" w:cs="宋体"/>
          <w:szCs w:val="21"/>
          <w:lang w:val="zh-CN"/>
        </w:rPr>
        <w:t xml:space="preserve">内部管理制度全面性差、可行性差的，得</w:t>
      </w:r>
      <w:r>
        <w:rPr>
          <w:rFonts w:hint="eastAsia" w:ascii="宋体" w:hAnsi="宋体" w:cs="宋体"/>
          <w:szCs w:val="21"/>
        </w:rPr>
        <w:t xml:space="preserve">1分；未提供相关内容的不得分</w:t>
      </w:r>
      <w:r>
        <w:rPr>
          <w:rFonts w:hint="eastAsia" w:ascii="宋体" w:hAnsi="宋体" w:cs="宋体"/>
          <w:szCs w:val="21"/>
          <w:lang w:val="zh-CN"/>
        </w:rPr>
        <w:t xml:space="preserve">。</w:t>
      </w:r>
      <w:r/>
    </w:p>
    <w:p>
      <w:pPr>
        <w:ind w:firstLine="482"/>
        <w:jc w:val="left"/>
        <w:spacing w:line="360" w:lineRule="auto"/>
        <w:widowControl/>
        <w:rPr>
          <w:rFonts w:ascii="宋体" w:hAnsi="宋体" w:cs="宋体"/>
          <w:b/>
          <w:szCs w:val="21"/>
          <w:lang w:val="zh-CN"/>
        </w:rPr>
      </w:pPr>
      <w:r>
        <w:rPr>
          <w:rFonts w:hint="eastAsia" w:ascii="宋体" w:hAnsi="宋体" w:cs="宋体"/>
          <w:b/>
          <w:szCs w:val="21"/>
        </w:rPr>
        <w:t xml:space="preserve">10</w:t>
      </w:r>
      <w:r>
        <w:rPr>
          <w:rFonts w:hint="eastAsia" w:ascii="宋体" w:hAnsi="宋体" w:cs="宋体"/>
          <w:b/>
          <w:szCs w:val="21"/>
          <w:lang w:val="zh-CN"/>
        </w:rPr>
        <w:t xml:space="preserve">、售后服务的安排及保证措施：</w:t>
      </w:r>
      <w:r>
        <w:rPr>
          <w:rFonts w:hint="eastAsia" w:ascii="宋体" w:hAnsi="宋体" w:cs="宋体"/>
          <w:b/>
          <w:szCs w:val="21"/>
        </w:rPr>
        <w:t xml:space="preserve">8</w:t>
      </w:r>
      <w:r>
        <w:rPr>
          <w:rFonts w:hint="eastAsia" w:ascii="宋体" w:hAnsi="宋体" w:cs="宋体"/>
          <w:b/>
          <w:szCs w:val="21"/>
          <w:lang w:val="zh-CN"/>
        </w:rPr>
        <w:t xml:space="preserve">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响应单位针对本项目投入的人员、方案、承诺、包括售后技术支持时间、响应速度等，由评委比较打分。人员、方案、承诺、包括售后技术支持时间、响应速度等可行性强的，得8分，人员、方案、承诺、包括售后技术支持时间、响应速度等可行性较强的，得5分，人员、方案、承诺、包括售后技术支持时间、响应速度等可行性一般的，得2分</w:t>
      </w:r>
      <w:r>
        <w:rPr>
          <w:rFonts w:hint="eastAsia" w:ascii="宋体" w:hAnsi="宋体" w:cs="宋体"/>
          <w:szCs w:val="21"/>
        </w:rPr>
        <w:t xml:space="preserve">；未提供相关内容的不得分</w:t>
      </w:r>
      <w:r>
        <w:rPr>
          <w:rFonts w:hint="eastAsia" w:ascii="宋体" w:hAnsi="宋体" w:cs="宋体"/>
          <w:szCs w:val="21"/>
          <w:lang w:val="zh-CN"/>
        </w:rPr>
        <w:t xml:space="preserve">。</w:t>
      </w:r>
      <w:r/>
    </w:p>
    <w:p>
      <w:pPr>
        <w:ind w:firstLine="482"/>
        <w:spacing w:line="360" w:lineRule="auto"/>
        <w:widowControl/>
        <w:rPr>
          <w:rFonts w:ascii="宋体" w:hAnsi="宋体"/>
          <w:b/>
          <w:bCs/>
          <w:szCs w:val="21"/>
        </w:rPr>
        <w:outlineLvl w:val="1"/>
      </w:pPr>
      <w:r>
        <w:rPr>
          <w:rFonts w:hint="eastAsia" w:ascii="宋体" w:hAnsi="宋体"/>
          <w:b/>
          <w:bCs/>
          <w:szCs w:val="21"/>
        </w:rPr>
        <w:t xml:space="preserve">（二）人员及设备配置情况：24分</w:t>
      </w:r>
      <w:r/>
    </w:p>
    <w:p>
      <w:pPr>
        <w:ind w:firstLine="480"/>
        <w:jc w:val="left"/>
        <w:spacing w:line="360" w:lineRule="auto"/>
        <w:widowControl/>
        <w:rPr>
          <w:rFonts w:ascii="宋体" w:hAnsi="宋体" w:cs="宋体"/>
          <w:szCs w:val="21"/>
        </w:rPr>
      </w:pPr>
      <w:r>
        <w:rPr>
          <w:rFonts w:hint="eastAsia" w:ascii="宋体" w:hAnsi="宋体" w:cs="宋体"/>
          <w:szCs w:val="21"/>
          <w:lang w:val="zh-CN"/>
        </w:rPr>
        <w:t xml:space="preserve">1、对本项目拟投入农业技术人员</w:t>
      </w:r>
      <w:r>
        <w:rPr>
          <w:rFonts w:hint="eastAsia" w:ascii="宋体" w:hAnsi="宋体" w:cs="宋体"/>
          <w:szCs w:val="21"/>
        </w:rPr>
        <w:t xml:space="preserve">情况</w:t>
      </w: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分）</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具有专业的农业技术人员或农药经营人员的，有一个得4分，最高8分</w:t>
      </w:r>
      <w:r>
        <w:rPr>
          <w:rFonts w:hint="eastAsia" w:ascii="宋体" w:hAnsi="宋体" w:cs="宋体"/>
          <w:szCs w:val="21"/>
        </w:rPr>
        <w:t xml:space="preserve">。磋商文件中需</w:t>
      </w:r>
      <w:r>
        <w:rPr>
          <w:rFonts w:hint="eastAsia" w:ascii="宋体" w:hAnsi="宋体" w:cs="宋体"/>
          <w:szCs w:val="21"/>
          <w:lang w:val="zh-CN"/>
        </w:rPr>
        <w:t xml:space="preserve">提供相关专业证明文件扫描件</w:t>
      </w:r>
      <w:r>
        <w:rPr>
          <w:rFonts w:hint="eastAsia" w:ascii="宋体" w:hAnsi="宋体" w:cs="宋体"/>
          <w:szCs w:val="21"/>
        </w:rPr>
        <w:t xml:space="preserve">及响应单位为其缴纳的2025年10月至今任意一期的社保证明扫描件</w:t>
      </w:r>
      <w:r>
        <w:rPr>
          <w:rFonts w:hint="eastAsia" w:ascii="宋体" w:hAnsi="宋体" w:cs="宋体"/>
          <w:szCs w:val="21"/>
          <w:lang w:val="zh-CN"/>
        </w:rPr>
        <w:t xml:space="preserve">，未提供不得分。</w:t>
      </w:r>
      <w:r/>
    </w:p>
    <w:p>
      <w:pPr>
        <w:ind w:firstLine="48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对本项目拟投入专职财务人员</w:t>
      </w:r>
      <w:r>
        <w:rPr>
          <w:rFonts w:hint="eastAsia" w:ascii="宋体" w:hAnsi="宋体" w:cs="宋体"/>
          <w:szCs w:val="21"/>
        </w:rPr>
        <w:t xml:space="preserve">情况</w:t>
      </w: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分）</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具有专职财务人员</w:t>
      </w:r>
      <w:r>
        <w:rPr>
          <w:rFonts w:hint="eastAsia" w:ascii="宋体" w:hAnsi="宋体" w:cs="宋体"/>
          <w:szCs w:val="21"/>
        </w:rPr>
        <w:t xml:space="preserve">的</w:t>
      </w:r>
      <w:r>
        <w:rPr>
          <w:rFonts w:hint="eastAsia" w:ascii="宋体" w:hAnsi="宋体" w:cs="宋体"/>
          <w:szCs w:val="21"/>
          <w:lang w:val="zh-CN"/>
        </w:rPr>
        <w:t xml:space="preserve">，</w:t>
      </w:r>
      <w:r>
        <w:rPr>
          <w:rFonts w:hint="eastAsia" w:ascii="宋体" w:hAnsi="宋体" w:cs="宋体"/>
          <w:szCs w:val="21"/>
        </w:rPr>
        <w:t xml:space="preserve">有一个得2分，最高2分。磋商文件中需提供相关专业证明材料扫描件（财会类毕业证书或财务专业职称证书等）及响应单位为其缴纳的2025年10月至今任意一期的社保证明扫描件</w:t>
      </w:r>
      <w:r>
        <w:rPr>
          <w:rFonts w:hint="eastAsia" w:ascii="宋体" w:hAnsi="宋体" w:cs="宋体"/>
          <w:szCs w:val="21"/>
          <w:lang w:val="zh-CN"/>
        </w:rPr>
        <w:t xml:space="preserve">，未提供不得分，未提供不得分。</w:t>
      </w:r>
      <w:r/>
    </w:p>
    <w:p>
      <w:pPr>
        <w:ind w:firstLine="48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针对本项目车辆配置情况，4分</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磋商响应单位具有配送农药车辆</w:t>
      </w:r>
      <w:r>
        <w:rPr>
          <w:rFonts w:hint="eastAsia" w:ascii="宋体" w:hAnsi="宋体" w:cs="宋体"/>
          <w:szCs w:val="21"/>
        </w:rPr>
        <w:t xml:space="preserve">的，有一辆得1分，</w:t>
      </w:r>
      <w:r>
        <w:rPr>
          <w:rFonts w:hint="eastAsia" w:ascii="宋体" w:hAnsi="宋体" w:cs="宋体"/>
          <w:szCs w:val="21"/>
          <w:lang w:val="zh-CN"/>
        </w:rPr>
        <w:t xml:space="preserve">最高4分。如为自有车辆磋商响应文件中提供以上车辆的购置发票等权属证明扫描件等，并提供车辆的行驶证 (行驶证和产权证所有人必须为磋商响应人)，如为租赁的，提供租赁合同及相关权属证明资料。</w:t>
      </w:r>
      <w:r/>
    </w:p>
    <w:p>
      <w:pPr>
        <w:ind w:firstLine="480"/>
        <w:jc w:val="left"/>
        <w:spacing w:line="360" w:lineRule="auto"/>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hint="eastAsia" w:ascii="Calibri" w:hAnsi="Calibri"/>
          <w:szCs w:val="21"/>
        </w:rPr>
        <w:t xml:space="preserve">磋商响应单位具有针对本项目服务便利、快捷的网点分布情况，</w:t>
      </w:r>
      <w:r>
        <w:rPr>
          <w:rFonts w:hint="eastAsia" w:ascii="宋体" w:hAnsi="宋体" w:cs="宋体"/>
          <w:szCs w:val="21"/>
        </w:rPr>
        <w:t xml:space="preserve">有1个得1分</w:t>
      </w:r>
      <w:r>
        <w:rPr>
          <w:rFonts w:hint="eastAsia" w:ascii="宋体" w:hAnsi="宋体" w:cs="宋体"/>
          <w:szCs w:val="21"/>
          <w:lang w:val="zh-CN"/>
        </w:rPr>
        <w:t xml:space="preserve">，最高10分；磋商文件中需提供相关证明资料扫描件，未提供不得分。</w:t>
      </w:r>
      <w:r/>
    </w:p>
    <w:p>
      <w:pPr>
        <w:ind w:firstLine="482"/>
        <w:spacing w:line="360" w:lineRule="auto"/>
        <w:rPr>
          <w:rFonts w:ascii="宋体" w:hAnsi="宋体" w:cs="宋体"/>
          <w:b/>
          <w:szCs w:val="21"/>
        </w:rPr>
      </w:pPr>
      <w:r>
        <w:rPr>
          <w:rFonts w:hint="eastAsia" w:ascii="宋体" w:hAnsi="宋体" w:cs="宋体"/>
          <w:b/>
          <w:szCs w:val="21"/>
        </w:rPr>
        <w:t xml:space="preserve">（三）业绩情况：10分</w:t>
      </w:r>
      <w:r/>
    </w:p>
    <w:p>
      <w:pPr>
        <w:ind w:firstLine="420"/>
        <w:spacing w:line="360" w:lineRule="auto"/>
        <w:rPr>
          <w:rFonts w:ascii="宋体" w:hAnsi="宋体" w:cs="仿宋_GB2312"/>
          <w:szCs w:val="21"/>
        </w:rPr>
      </w:pPr>
      <w:r>
        <w:rPr>
          <w:rFonts w:hint="eastAsia" w:ascii="宋体" w:hAnsi="宋体" w:cs="宋体"/>
          <w:szCs w:val="21"/>
          <w:lang w:val="zh-CN"/>
        </w:rPr>
        <w:t xml:space="preserve">磋商响应单位自202</w:t>
      </w:r>
      <w:r>
        <w:rPr>
          <w:rFonts w:hint="eastAsia" w:ascii="宋体" w:hAnsi="宋体" w:cs="宋体"/>
          <w:szCs w:val="21"/>
        </w:rPr>
        <w:t xml:space="preserve">3</w:t>
      </w:r>
      <w:r>
        <w:rPr>
          <w:rFonts w:hint="eastAsia" w:ascii="宋体" w:hAnsi="宋体" w:cs="宋体"/>
          <w:szCs w:val="21"/>
          <w:lang w:val="zh-CN"/>
        </w:rPr>
        <w:t xml:space="preserve">年1月1日（以合同签订时间为准）以来承担过类似</w:t>
      </w:r>
      <w:r>
        <w:rPr>
          <w:rFonts w:hint="eastAsia" w:ascii="宋体" w:hAnsi="宋体" w:cs="宋体"/>
          <w:szCs w:val="21"/>
        </w:rPr>
        <w:t xml:space="preserve">项目</w:t>
      </w:r>
      <w:r>
        <w:rPr>
          <w:rFonts w:hint="eastAsia" w:ascii="宋体" w:hAnsi="宋体" w:cs="宋体"/>
          <w:szCs w:val="21"/>
          <w:lang w:val="zh-CN"/>
        </w:rPr>
        <w:t xml:space="preserve">业绩</w:t>
      </w:r>
      <w:r>
        <w:rPr>
          <w:rFonts w:hint="eastAsia" w:ascii="宋体" w:hAnsi="宋体" w:cs="宋体"/>
          <w:szCs w:val="21"/>
        </w:rPr>
        <w:t xml:space="preserve">情况</w:t>
      </w:r>
      <w:r>
        <w:rPr>
          <w:rFonts w:hint="eastAsia" w:ascii="宋体" w:hAnsi="宋体" w:cs="宋体"/>
          <w:szCs w:val="21"/>
          <w:lang w:val="zh-CN"/>
        </w:rPr>
        <w:t xml:space="preserve">，每提供一份得2分，最高10分。磋商文件中需提供完整的业绩扫描件，未提供或提供全的不得分</w:t>
      </w:r>
      <w:r>
        <w:rPr>
          <w:rFonts w:hint="eastAsia" w:ascii="宋体" w:hAnsi="宋体" w:cs="仿宋_GB2312"/>
          <w:szCs w:val="21"/>
        </w:rPr>
        <w:t xml:space="preserve">。</w:t>
      </w:r>
      <w:r/>
    </w:p>
    <w:p>
      <w:pPr>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r>
      <w:r/>
    </w:p>
    <w:p>
      <w:pPr>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b/>
          <w:szCs w:val="21"/>
        </w:rPr>
        <w:t xml:space="preserve">注：</w:t>
      </w:r>
      <w:r>
        <w:rPr>
          <w:rFonts w:hint="eastAsia" w:ascii="宋体" w:hAnsi="宋体"/>
          <w:b/>
          <w:szCs w:val="21"/>
        </w:rPr>
        <w:t xml:space="preserve">针对评分标准中评分的每一条，响应人在响应文件中均应提供清晰明了的相关资料并做出相应说明供评委评判，不提供相关资料的视为不具备该项得分的条件</w:t>
      </w:r>
      <w:r>
        <w:rPr>
          <w:rFonts w:hint="eastAsia" w:cs="宋体"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Theme="minorEastAsia" w:hAnsiTheme="minorEastAsia" w:eastAsiaTheme="minorEastAsia"/>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四、合同主要条款及格式</w:t>
      </w:r>
      <w:r/>
    </w:p>
    <w:p>
      <w:pPr>
        <w:pStyle w:val="796"/>
        <w:ind w:firstLine="420"/>
        <w:spacing w:line="360" w:lineRule="auto"/>
        <w:widowControl w:val="off"/>
        <w:rPr>
          <w:rFonts w:hAnsi="宋体" w:eastAsia="宋体" w:cs="宋体"/>
          <w:sz w:val="21"/>
          <w:szCs w:val="21"/>
        </w:rPr>
      </w:pPr>
      <w:r>
        <w:rPr>
          <w:rFonts w:hAnsi="宋体" w:eastAsia="宋体" w:cs="宋体"/>
          <w:sz w:val="21"/>
          <w:szCs w:val="21"/>
        </w:rPr>
      </w:r>
      <w:r/>
    </w:p>
    <w:p>
      <w:pPr>
        <w:spacing w:line="360" w:lineRule="auto"/>
        <w:rPr>
          <w:rFonts w:ascii="宋体" w:hAnsi="宋体" w:cs="宋体"/>
          <w:b/>
          <w:szCs w:val="21"/>
        </w:rPr>
      </w:pPr>
      <w:r>
        <w:rPr>
          <w:rFonts w:hint="eastAsia" w:ascii="宋体" w:hAnsi="宋体" w:cs="宋体"/>
          <w:b/>
          <w:szCs w:val="21"/>
        </w:rPr>
        <w:t xml:space="preserve">项目名称：</w:t>
      </w:r>
      <w:r/>
    </w:p>
    <w:p>
      <w:pPr>
        <w:spacing w:line="360" w:lineRule="auto"/>
        <w:rPr>
          <w:rFonts w:ascii="宋体" w:hAnsi="宋体" w:cs="宋体"/>
          <w:szCs w:val="21"/>
        </w:rPr>
      </w:pPr>
      <w:r>
        <w:rPr>
          <w:rFonts w:hint="eastAsia" w:ascii="宋体" w:hAnsi="宋体" w:cs="宋体"/>
          <w:b/>
          <w:szCs w:val="21"/>
        </w:rPr>
        <w:t xml:space="preserve">项目编号：</w:t>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hint="eastAsia" w:ascii="宋体" w:hAnsi="宋体" w:cs="宋体"/>
          <w:b/>
          <w:szCs w:val="21"/>
        </w:rPr>
        <w:t xml:space="preserve">甲方（项目采购人）：</w:t>
      </w:r>
      <w:r>
        <w:rPr>
          <w:rFonts w:hint="eastAsia" w:ascii="宋体" w:hAnsi="宋体" w:cs="宋体"/>
        </w:rPr>
        <w:t xml:space="preserve">苏州市相城区农业农村局</w:t>
      </w:r>
      <w:r/>
    </w:p>
    <w:p>
      <w:pPr>
        <w:jc w:val="left"/>
        <w:spacing w:line="360" w:lineRule="auto"/>
        <w:rPr>
          <w:rFonts w:ascii="宋体" w:hAnsi="宋体" w:cs="宋体"/>
          <w:szCs w:val="21"/>
        </w:rPr>
      </w:pPr>
      <w:r>
        <w:rPr>
          <w:rFonts w:hint="eastAsia" w:ascii="宋体" w:hAnsi="宋体" w:cs="宋体"/>
          <w:szCs w:val="21"/>
        </w:rPr>
        <w:t xml:space="preserve">联系人： </w:t>
      </w:r>
      <w:r>
        <w:rPr>
          <w:rFonts w:hint="eastAsia" w:ascii="宋体" w:hAnsi="宋体" w:cs="宋体"/>
          <w:szCs w:val="21"/>
        </w:rPr>
        <w:tab/>
      </w:r>
      <w:r/>
    </w:p>
    <w:p>
      <w:pPr>
        <w:jc w:val="left"/>
        <w:spacing w:line="360" w:lineRule="auto"/>
        <w:rPr>
          <w:rFonts w:ascii="宋体" w:hAnsi="宋体" w:cs="宋体"/>
          <w:szCs w:val="21"/>
        </w:rPr>
      </w:pPr>
      <w:r>
        <w:rPr>
          <w:rFonts w:hint="eastAsia" w:ascii="宋体" w:hAnsi="宋体" w:cs="宋体"/>
          <w:szCs w:val="21"/>
        </w:rPr>
        <w:t xml:space="preserve">单位地址： </w:t>
      </w:r>
      <w:r/>
    </w:p>
    <w:p>
      <w:pPr>
        <w:jc w:val="left"/>
        <w:spacing w:line="360" w:lineRule="auto"/>
        <w:rPr>
          <w:rFonts w:ascii="宋体" w:hAnsi="宋体" w:cs="宋体"/>
          <w:szCs w:val="21"/>
        </w:rPr>
      </w:pPr>
      <w:r>
        <w:rPr>
          <w:rFonts w:hint="eastAsia" w:ascii="宋体" w:hAnsi="宋体" w:cs="宋体"/>
          <w:szCs w:val="21"/>
        </w:rPr>
        <w:t xml:space="preserve">电话：</w:t>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hint="eastAsia" w:ascii="宋体" w:hAnsi="宋体" w:cs="宋体"/>
          <w:b/>
          <w:szCs w:val="21"/>
        </w:rPr>
        <w:t xml:space="preserve">乙方（成交供应商）：</w:t>
      </w:r>
      <w:r/>
    </w:p>
    <w:p>
      <w:pPr>
        <w:jc w:val="left"/>
        <w:spacing w:line="360" w:lineRule="auto"/>
        <w:rPr>
          <w:rFonts w:ascii="宋体" w:hAnsi="宋体" w:cs="宋体"/>
          <w:szCs w:val="21"/>
        </w:rPr>
      </w:pPr>
      <w:r>
        <w:rPr>
          <w:rFonts w:hint="eastAsia" w:ascii="宋体" w:hAnsi="宋体" w:cs="宋体"/>
          <w:szCs w:val="21"/>
        </w:rPr>
        <w:t xml:space="preserve">联系人： </w:t>
      </w:r>
      <w:r>
        <w:rPr>
          <w:rFonts w:hint="eastAsia" w:ascii="宋体" w:hAnsi="宋体" w:cs="宋体"/>
          <w:szCs w:val="21"/>
        </w:rPr>
        <w:tab/>
      </w:r>
      <w:r/>
    </w:p>
    <w:p>
      <w:pPr>
        <w:jc w:val="left"/>
        <w:spacing w:line="360" w:lineRule="auto"/>
        <w:rPr>
          <w:rFonts w:ascii="宋体" w:hAnsi="宋体" w:cs="宋体"/>
          <w:szCs w:val="21"/>
        </w:rPr>
      </w:pPr>
      <w:r>
        <w:rPr>
          <w:rFonts w:hint="eastAsia" w:ascii="宋体" w:hAnsi="宋体" w:cs="宋体"/>
          <w:szCs w:val="21"/>
        </w:rPr>
        <w:t xml:space="preserve">单位地址： </w:t>
      </w:r>
      <w:r/>
    </w:p>
    <w:p>
      <w:pPr>
        <w:jc w:val="left"/>
        <w:spacing w:line="360" w:lineRule="auto"/>
        <w:rPr>
          <w:rFonts w:ascii="宋体" w:hAnsi="宋体" w:cs="宋体"/>
          <w:szCs w:val="21"/>
        </w:rPr>
      </w:pPr>
      <w:r>
        <w:rPr>
          <w:rFonts w:hint="eastAsia" w:ascii="宋体" w:hAnsi="宋体" w:cs="宋体"/>
          <w:szCs w:val="21"/>
        </w:rPr>
        <w:t xml:space="preserve">电话：</w:t>
      </w:r>
      <w:r/>
    </w:p>
    <w:p>
      <w:pPr>
        <w:spacing w:before="120" w:after="120"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根据《中华人民共和国民法典》和《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spacing w:line="360" w:lineRule="auto"/>
        <w:rPr>
          <w:rFonts w:ascii="宋体" w:hAnsi="宋体"/>
          <w:szCs w:val="21"/>
        </w:rPr>
      </w:pPr>
      <w:r>
        <w:rPr>
          <w:rFonts w:ascii="宋体" w:hAnsi="宋体"/>
          <w:szCs w:val="21"/>
        </w:rPr>
      </w:r>
      <w:r/>
    </w:p>
    <w:p>
      <w:pPr>
        <w:ind w:firstLine="480"/>
        <w:jc w:val="left"/>
        <w:spacing w:line="360" w:lineRule="auto"/>
        <w:widowControl/>
        <w:rPr>
          <w:rFonts w:ascii="宋体" w:hAnsi="宋体" w:cs="仿宋_GB2312"/>
          <w:b/>
          <w:bCs/>
          <w:szCs w:val="21"/>
        </w:rPr>
      </w:pPr>
      <w:r>
        <w:rPr>
          <w:rFonts w:hint="eastAsia" w:ascii="宋体" w:hAnsi="宋体" w:cs="仿宋_GB2312"/>
          <w:b/>
          <w:bCs/>
          <w:szCs w:val="21"/>
        </w:rPr>
        <w:t xml:space="preserve">一、合同标的物和合同价格组成</w:t>
      </w:r>
      <w:r/>
    </w:p>
    <w:p>
      <w:pPr>
        <w:ind w:firstLine="480"/>
        <w:jc w:val="left"/>
        <w:spacing w:line="360" w:lineRule="auto"/>
        <w:widowControl/>
        <w:rPr>
          <w:rFonts w:ascii="宋体" w:hAnsi="宋体" w:cs="仿宋_GB2312"/>
          <w:b/>
          <w:bCs/>
          <w:szCs w:val="21"/>
        </w:rPr>
      </w:pPr>
      <w:r>
        <w:rPr>
          <w:rFonts w:ascii="宋体" w:hAnsi="宋体" w:cs="仿宋_GB2312"/>
          <w:szCs w:val="21"/>
        </w:rPr>
        <w:t xml:space="preserve">1</w:t>
      </w:r>
      <w:r>
        <w:rPr>
          <w:rFonts w:hint="eastAsia" w:ascii="宋体" w:hAnsi="宋体" w:cs="仿宋_GB2312"/>
          <w:szCs w:val="21"/>
        </w:rPr>
        <w:t xml:space="preserve">、采购的服务内容概述：</w:t>
      </w:r>
      <w:r>
        <w:rPr>
          <w:rFonts w:hint="eastAsia" w:ascii="宋体" w:hAnsi="宋体" w:cs="宋体"/>
          <w:bCs/>
          <w:szCs w:val="21"/>
        </w:rPr>
        <w:t xml:space="preserve">详见本合同第四条</w:t>
      </w:r>
      <w:r>
        <w:rPr>
          <w:rFonts w:ascii="宋体" w:hAnsi="宋体" w:cs="仿宋_GB2312"/>
          <w:b/>
          <w:bCs/>
          <w:szCs w:val="21"/>
        </w:rPr>
        <w:t xml:space="preserve">服务工作</w:t>
      </w:r>
      <w:r>
        <w:rPr>
          <w:rFonts w:hint="eastAsia" w:ascii="宋体" w:hAnsi="宋体" w:cs="仿宋_GB2312"/>
          <w:b/>
          <w:bCs/>
          <w:szCs w:val="21"/>
        </w:rPr>
        <w:t xml:space="preserve">内容及要求</w:t>
      </w:r>
      <w:r/>
    </w:p>
    <w:p>
      <w:pPr>
        <w:ind w:firstLine="480"/>
        <w:jc w:val="left"/>
        <w:spacing w:line="360" w:lineRule="auto"/>
        <w:widowControl/>
        <w:rPr>
          <w:rFonts w:ascii="宋体" w:hAnsi="宋体" w:cs="仿宋_GB2312"/>
          <w:b/>
          <w:bCs/>
          <w:szCs w:val="21"/>
        </w:rPr>
      </w:pPr>
      <w:r>
        <w:rPr>
          <w:rFonts w:hint="eastAsia" w:ascii="宋体" w:hAnsi="宋体" w:cs="宋体"/>
          <w:szCs w:val="21"/>
        </w:rPr>
        <w:t xml:space="preserve">2、服务范围：</w:t>
      </w:r>
      <w:r>
        <w:rPr>
          <w:rFonts w:hint="eastAsia" w:ascii="宋体" w:hAnsi="宋体" w:cs="宋体"/>
          <w:bCs/>
          <w:szCs w:val="21"/>
        </w:rPr>
        <w:t xml:space="preserve">详见本合同第四条</w:t>
      </w:r>
      <w:r>
        <w:rPr>
          <w:rFonts w:ascii="宋体" w:hAnsi="宋体" w:cs="仿宋_GB2312"/>
          <w:b/>
          <w:bCs/>
          <w:szCs w:val="21"/>
        </w:rPr>
        <w:t xml:space="preserve">服务工作</w:t>
      </w:r>
      <w:r>
        <w:rPr>
          <w:rFonts w:hint="eastAsia" w:ascii="宋体" w:hAnsi="宋体" w:cs="仿宋_GB2312"/>
          <w:b/>
          <w:bCs/>
          <w:szCs w:val="21"/>
        </w:rPr>
        <w:t xml:space="preserve">内容及要求</w:t>
      </w:r>
      <w:r/>
    </w:p>
    <w:p>
      <w:pPr>
        <w:ind w:firstLine="480"/>
        <w:jc w:val="left"/>
        <w:spacing w:line="360" w:lineRule="auto"/>
        <w:widowControl/>
        <w:rPr>
          <w:rFonts w:ascii="宋体" w:hAnsi="宋体" w:cs="仿宋_GB2312"/>
          <w:szCs w:val="21"/>
        </w:rPr>
      </w:pPr>
      <w:r>
        <w:rPr>
          <w:rFonts w:ascii="宋体" w:hAnsi="宋体" w:cs="仿宋_GB2312"/>
          <w:szCs w:val="21"/>
        </w:rPr>
        <w:t xml:space="preserve">3</w:t>
      </w:r>
      <w:r>
        <w:rPr>
          <w:rFonts w:hint="eastAsia" w:ascii="宋体" w:hAnsi="宋体" w:cs="仿宋_GB2312"/>
          <w:szCs w:val="21"/>
        </w:rPr>
        <w:t xml:space="preserve">、服务期限：自合同签订之日起至2026年12月31日止。</w:t>
      </w:r>
      <w:r/>
    </w:p>
    <w:p>
      <w:pPr>
        <w:ind w:firstLine="480"/>
        <w:jc w:val="left"/>
        <w:spacing w:line="360" w:lineRule="auto"/>
        <w:widowControl/>
        <w:rPr>
          <w:rFonts w:ascii="宋体" w:hAnsi="宋体" w:cs="仿宋_GB2312"/>
          <w:szCs w:val="21"/>
        </w:rPr>
      </w:pPr>
      <w:r>
        <w:rPr>
          <w:rFonts w:ascii="宋体" w:hAnsi="宋体" w:cs="仿宋_GB2312"/>
          <w:szCs w:val="21"/>
        </w:rPr>
        <w:t xml:space="preserve">4</w:t>
      </w:r>
      <w:r>
        <w:rPr>
          <w:rFonts w:hint="eastAsia" w:ascii="宋体" w:hAnsi="宋体" w:cs="仿宋_GB2312"/>
          <w:szCs w:val="21"/>
        </w:rPr>
        <w:t xml:space="preserve">、</w:t>
      </w:r>
      <w:r>
        <w:rPr>
          <w:rFonts w:hint="eastAsia" w:ascii="宋体" w:hAnsi="宋体"/>
          <w:szCs w:val="21"/>
        </w:rPr>
        <w:t xml:space="preserve">合同价款的组成：合同价款包含甲方应付乙方的全部款项。</w:t>
      </w:r>
      <w:r/>
    </w:p>
    <w:p>
      <w:pPr>
        <w:ind w:firstLine="480"/>
        <w:jc w:val="left"/>
        <w:spacing w:line="360" w:lineRule="auto"/>
        <w:widowControl/>
        <w:rPr>
          <w:rFonts w:ascii="宋体" w:hAnsi="宋体" w:cs="仿宋_GB2312"/>
          <w:b/>
          <w:bCs/>
          <w:szCs w:val="21"/>
        </w:rPr>
      </w:pPr>
      <w:r>
        <w:rPr>
          <w:rFonts w:hint="eastAsia" w:ascii="宋体" w:hAnsi="宋体" w:cs="仿宋_GB2312"/>
          <w:b/>
          <w:bCs/>
          <w:szCs w:val="21"/>
        </w:rPr>
        <w:t xml:space="preserve">二、下列文件为本合同不可分割部分</w:t>
      </w:r>
      <w:r/>
    </w:p>
    <w:p>
      <w:pPr>
        <w:ind w:firstLine="480"/>
        <w:jc w:val="left"/>
        <w:spacing w:line="360" w:lineRule="auto"/>
        <w:widowControl/>
        <w:rPr>
          <w:rFonts w:ascii="宋体" w:hAnsi="宋体" w:cs="仿宋_GB2312"/>
          <w:szCs w:val="21"/>
        </w:rPr>
      </w:pPr>
      <w:r>
        <w:rPr>
          <w:rFonts w:ascii="宋体" w:hAnsi="宋体" w:cs="仿宋_GB2312"/>
          <w:szCs w:val="21"/>
        </w:rPr>
        <w:t xml:space="preserve">1</w:t>
      </w:r>
      <w:r>
        <w:rPr>
          <w:rFonts w:hint="eastAsia" w:ascii="宋体" w:hAnsi="宋体" w:cs="仿宋_GB2312"/>
          <w:szCs w:val="21"/>
        </w:rPr>
        <w:t xml:space="preserve">、成交通知书；</w:t>
      </w:r>
      <w:r/>
    </w:p>
    <w:p>
      <w:pPr>
        <w:ind w:firstLine="480"/>
        <w:jc w:val="left"/>
        <w:spacing w:line="360" w:lineRule="auto"/>
        <w:widowControl/>
        <w:rPr>
          <w:rFonts w:ascii="宋体" w:hAnsi="宋体" w:cs="仿宋_GB2312"/>
          <w:szCs w:val="21"/>
        </w:rPr>
      </w:pPr>
      <w:r>
        <w:rPr>
          <w:rFonts w:ascii="宋体" w:hAnsi="宋体" w:cs="仿宋_GB2312"/>
          <w:szCs w:val="21"/>
        </w:rPr>
        <w:t xml:space="preserve">2</w:t>
      </w:r>
      <w:r>
        <w:rPr>
          <w:rFonts w:hint="eastAsia" w:ascii="宋体" w:hAnsi="宋体" w:cs="仿宋_GB2312"/>
          <w:szCs w:val="21"/>
        </w:rPr>
        <w:t xml:space="preserve">、乙方成交的响应文件；</w:t>
      </w:r>
      <w:r/>
    </w:p>
    <w:p>
      <w:pPr>
        <w:ind w:firstLine="480"/>
        <w:jc w:val="left"/>
        <w:spacing w:line="360" w:lineRule="auto"/>
        <w:widowControl/>
        <w:rPr>
          <w:rFonts w:ascii="宋体" w:hAnsi="宋体" w:cs="仿宋_GB2312"/>
          <w:szCs w:val="21"/>
        </w:rPr>
      </w:pPr>
      <w:r>
        <w:rPr>
          <w:rFonts w:ascii="宋体" w:hAnsi="宋体" w:cs="仿宋_GB2312"/>
          <w:szCs w:val="21"/>
        </w:rPr>
        <w:t xml:space="preserve">3</w:t>
      </w:r>
      <w:r>
        <w:rPr>
          <w:rFonts w:hint="eastAsia" w:ascii="宋体" w:hAnsi="宋体" w:cs="仿宋_GB2312"/>
          <w:szCs w:val="21"/>
        </w:rPr>
        <w:t xml:space="preserve">、采购文件；</w:t>
      </w:r>
      <w:r/>
    </w:p>
    <w:p>
      <w:pPr>
        <w:ind w:firstLine="480"/>
        <w:jc w:val="left"/>
        <w:spacing w:line="360" w:lineRule="auto"/>
        <w:widowControl/>
        <w:rPr>
          <w:rFonts w:ascii="宋体" w:hAnsi="宋体" w:cs="仿宋_GB2312"/>
          <w:szCs w:val="21"/>
        </w:rPr>
      </w:pPr>
      <w:r>
        <w:rPr>
          <w:rFonts w:ascii="宋体" w:hAnsi="宋体" w:cs="仿宋_GB2312"/>
          <w:szCs w:val="21"/>
        </w:rPr>
        <w:t xml:space="preserve">4</w:t>
      </w:r>
      <w:r>
        <w:rPr>
          <w:rFonts w:hint="eastAsia" w:ascii="宋体" w:hAnsi="宋体" w:cs="仿宋_GB2312"/>
          <w:szCs w:val="21"/>
        </w:rPr>
        <w:t xml:space="preserve">、乙方在磋商过程中所作的其它承诺、声明、书面澄清等。</w:t>
      </w:r>
      <w:r/>
    </w:p>
    <w:p>
      <w:pPr>
        <w:ind w:firstLine="482"/>
        <w:jc w:val="left"/>
        <w:spacing w:line="360" w:lineRule="auto"/>
        <w:widowControl/>
        <w:rPr>
          <w:rFonts w:ascii="宋体" w:hAnsi="宋体" w:cs="仿宋_GB2312"/>
          <w:szCs w:val="21"/>
        </w:rPr>
      </w:pPr>
      <w:r>
        <w:rPr>
          <w:rFonts w:hint="eastAsia" w:ascii="宋体" w:hAnsi="宋体" w:cs="仿宋_GB2312"/>
          <w:b/>
          <w:bCs/>
          <w:szCs w:val="21"/>
        </w:rPr>
        <w:t xml:space="preserve">三、合同价格支付</w:t>
      </w:r>
      <w:r/>
    </w:p>
    <w:p>
      <w:pPr>
        <w:ind w:firstLine="480"/>
        <w:spacing w:line="360" w:lineRule="auto"/>
        <w:rPr>
          <w:rFonts w:ascii="宋体" w:hAnsi="宋体" w:cs="仿宋_GB2312"/>
          <w:szCs w:val="21"/>
        </w:rPr>
      </w:pPr>
      <w:r>
        <w:rPr>
          <w:rFonts w:hint="eastAsia" w:ascii="宋体" w:hAnsi="宋体" w:cs="仿宋_GB2312"/>
          <w:szCs w:val="21"/>
        </w:rPr>
        <w:t xml:space="preserve">（一）合同价格按成交价格执行，结算标准如下：</w:t>
      </w:r>
      <w:r/>
    </w:p>
    <w:p>
      <w:pPr>
        <w:ind w:firstLine="480"/>
        <w:spacing w:line="360" w:lineRule="auto"/>
        <w:rPr>
          <w:rFonts w:ascii="宋体" w:hAnsi="宋体" w:cs="Arial Unicode MS"/>
          <w:szCs w:val="21"/>
        </w:rPr>
      </w:pPr>
      <w:r>
        <w:rPr>
          <w:rFonts w:hint="eastAsia" w:ascii="宋体" w:hAnsi="宋体" w:cs="Arial Unicode MS"/>
          <w:szCs w:val="21"/>
        </w:rPr>
        <w:t xml:space="preserve">（1）农药集中配送补贴标准：按农药成交价销售的30%给与补贴，其中25%为成交经营主体的农药配送补贴，5%优惠给农户。</w:t>
      </w:r>
      <w:r/>
    </w:p>
    <w:p>
      <w:pPr>
        <w:ind w:firstLine="480"/>
        <w:spacing w:line="360" w:lineRule="auto"/>
        <w:rPr>
          <w:rFonts w:ascii="宋体" w:hAnsi="宋体" w:cs="Arial Unicode MS"/>
          <w:szCs w:val="21"/>
        </w:rPr>
      </w:pPr>
      <w:r>
        <w:rPr>
          <w:rFonts w:hint="eastAsia" w:ascii="宋体" w:hAnsi="宋体" w:cs="Arial Unicode MS"/>
          <w:szCs w:val="21"/>
        </w:rPr>
        <w:t xml:space="preserve">（2）农药包装废弃物回收补贴标准：按照农药包装瓶（瓶盖完整）0.5元/只（补贴农户部分不低于0.3元/只），农药包装袋0.3元/只（补贴农户部分不低于0.1元/只）补贴，回收费用包括瓶/袋收购费、回收过程中的分类、打包、存储、运输、无害化处置、宣传、培训等涉及的物品采购和人工费用等。</w:t>
      </w:r>
      <w:r/>
    </w:p>
    <w:p>
      <w:pPr>
        <w:ind w:firstLine="480"/>
        <w:spacing w:line="360" w:lineRule="auto"/>
        <w:rPr>
          <w:rFonts w:ascii="宋体" w:hAnsi="宋体" w:cs="Arial Unicode MS"/>
          <w:szCs w:val="21"/>
        </w:rPr>
      </w:pPr>
      <w:r>
        <w:rPr>
          <w:rFonts w:hint="eastAsia" w:ascii="宋体" w:hAnsi="宋体" w:cs="Arial Unicode MS"/>
          <w:szCs w:val="21"/>
        </w:rPr>
        <w:t xml:space="preserve">（3）农业地膜残膜回收补贴标准：按照6元/千克（补贴农户部分不低于3.2元/千克）回收，回收费包括地膜残膜收购费、回收过程中的分类、打包、存储、运输、处置、宣传、培训等涉及的物品采购和人工费用等。</w:t>
      </w:r>
      <w:r/>
    </w:p>
    <w:p>
      <w:pPr>
        <w:ind w:firstLine="420"/>
        <w:spacing w:line="360" w:lineRule="auto"/>
        <w:rPr>
          <w:rFonts w:ascii="宋体" w:hAnsi="宋体" w:cs="仿宋_GB2312"/>
          <w:szCs w:val="21"/>
        </w:rPr>
      </w:pPr>
      <w:r>
        <w:rPr>
          <w:rFonts w:hint="eastAsia" w:ascii="宋体" w:hAnsi="宋体" w:cs="仿宋_GB2312"/>
          <w:szCs w:val="21"/>
        </w:rPr>
        <w:t xml:space="preserve">合同金额为人民币(大写)壹佰捌拾伍万元整(￥:1850000.00元)。按上述三项服务内容按实结算，补贴总金额不超过合同金额(如有超额，超出部分由乙方自行承担)。合同金额包括所有采购内容以及本项目所需的劳务支出、易耗品、通讯、服装、胸卡、办公设备、各种税费、人工、保险、劳保、维护、利润、税金、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ind w:firstLine="480"/>
        <w:spacing w:line="360" w:lineRule="auto"/>
        <w:rPr>
          <w:rFonts w:ascii="宋体" w:hAnsi="宋体" w:cs="仿宋_GB2312"/>
          <w:szCs w:val="21"/>
        </w:rPr>
      </w:pPr>
      <w:r>
        <w:rPr>
          <w:rFonts w:hint="eastAsia" w:ascii="宋体" w:hAnsi="宋体" w:cs="仿宋_GB2312"/>
          <w:szCs w:val="21"/>
        </w:rPr>
        <w:t xml:space="preserve">（二）合同价款的支付及付款方式：</w:t>
      </w:r>
      <w:r/>
    </w:p>
    <w:p>
      <w:pPr>
        <w:ind w:firstLine="480"/>
        <w:spacing w:line="360" w:lineRule="auto"/>
        <w:rPr>
          <w:rFonts w:ascii="宋体" w:hAnsi="宋体" w:cs="仿宋_GB2312"/>
          <w:szCs w:val="21"/>
        </w:rPr>
      </w:pPr>
      <w:r/>
      <w:bookmarkStart w:id="14" w:name="OLE_LINK37"/>
      <w:r/>
      <w:bookmarkStart w:id="15" w:name="OLE_LINK36"/>
      <w:r>
        <w:rPr>
          <w:rFonts w:hint="eastAsia" w:ascii="宋体" w:hAnsi="宋体" w:cs="仿宋_GB2312"/>
          <w:szCs w:val="21"/>
        </w:rPr>
        <w:t xml:space="preserve"> 1、付款步骤：</w:t>
      </w:r>
      <w:bookmarkEnd w:id="14"/>
      <w:r/>
      <w:bookmarkEnd w:id="15"/>
      <w:r/>
      <w:r/>
    </w:p>
    <w:p>
      <w:pPr>
        <w:ind w:firstLine="420"/>
        <w:spacing w:line="360" w:lineRule="auto"/>
        <w:rPr>
          <w:rFonts w:ascii="宋体" w:hAnsi="宋体" w:cs="宋体"/>
          <w:bCs/>
          <w:szCs w:val="21"/>
        </w:rPr>
      </w:pPr>
      <w:r>
        <w:rPr>
          <w:rFonts w:hint="eastAsia" w:ascii="宋体" w:hAnsi="宋体" w:cs="宋体"/>
          <w:bCs/>
          <w:szCs w:val="21"/>
        </w:rPr>
        <w:t xml:space="preserve">A、□在签订合同时，乙方明确表示需要甲方支付预付款的</w:t>
      </w:r>
      <w:r/>
    </w:p>
    <w:p>
      <w:pPr>
        <w:ind w:firstLine="420"/>
        <w:spacing w:line="360" w:lineRule="auto"/>
        <w:rPr>
          <w:rFonts w:ascii="宋体" w:hAnsi="宋体" w:cs="宋体"/>
          <w:bCs/>
          <w:szCs w:val="21"/>
        </w:rPr>
      </w:pPr>
      <w:r>
        <w:rPr>
          <w:rFonts w:hint="eastAsia" w:ascii="宋体" w:hAnsi="宋体" w:cs="仿宋_GB2312"/>
          <w:szCs w:val="21"/>
        </w:rPr>
        <w:t xml:space="preserve">资金结算周期为合同签订之日起至2026年12月31日。</w:t>
      </w:r>
      <w:r>
        <w:rPr>
          <w:rFonts w:hint="eastAsia" w:ascii="宋体" w:hAnsi="宋体" w:cs="宋体"/>
          <w:bCs/>
          <w:szCs w:val="21"/>
        </w:rPr>
        <w:t xml:space="preserve">采购合同签订生效后，甲方在15个工作日内向乙方支付合同总金额30%的预付款。</w:t>
      </w:r>
      <w:r>
        <w:rPr>
          <w:rFonts w:hint="eastAsia" w:ascii="宋体" w:hAnsi="宋体" w:cs="仿宋_GB2312"/>
          <w:szCs w:val="21"/>
        </w:rPr>
        <w:t xml:space="preserve">乙方根据相城区智慧农资云平台农药配送销售台账及回收台账核算各站点销售额和农药包装废弃物、地膜残膜回收数量。甲方聘请第三方对全区销售金额和回收数量进行审计，根据实施进度分批次进行支付（</w:t>
      </w:r>
      <w:r>
        <w:rPr>
          <w:rFonts w:hint="eastAsia" w:ascii="宋体" w:hAnsi="宋体" w:cs="宋体"/>
          <w:bCs/>
          <w:szCs w:val="21"/>
        </w:rPr>
        <w:t xml:space="preserve">支付款项先从支付的预付款中扣除</w:t>
      </w:r>
      <w:r>
        <w:rPr>
          <w:rFonts w:hint="eastAsia" w:ascii="宋体" w:hAnsi="宋体" w:cs="仿宋_GB2312"/>
          <w:szCs w:val="21"/>
        </w:rPr>
        <w:t xml:space="preserve">），年终组织实施验收，验收通过后报区财政局下达补贴资金尾款至乙方。乙方向甲方提供相应金额的发票</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B、□在签订合同时，乙方明确表示无需甲方支付预付款的</w:t>
      </w:r>
      <w:r/>
    </w:p>
    <w:p>
      <w:pPr>
        <w:ind w:firstLine="480"/>
        <w:spacing w:line="360" w:lineRule="auto"/>
        <w:rPr>
          <w:rFonts w:ascii="宋体" w:hAnsi="宋体" w:cs="宋体"/>
          <w:szCs w:val="21"/>
        </w:rPr>
      </w:pPr>
      <w:r>
        <w:rPr>
          <w:rFonts w:hint="eastAsia" w:ascii="宋体" w:hAnsi="宋体" w:cs="宋体"/>
          <w:bCs/>
          <w:szCs w:val="21"/>
        </w:rPr>
        <w:t xml:space="preserve">乙方根据相城区智慧农资云平台农药配送销售台账及回收台账核算各站点销售额和农药包装废弃物、地膜残膜回收数量。甲方聘请第三方对全区销售金额和回收数量进行审计，根据实施进度分批次进行支付，年终组织实施验收，验收通过后报区财政局下达补贴资金尾款至乙方。乙方向甲方提供相应金额的发票</w:t>
      </w:r>
      <w:r>
        <w:rPr>
          <w:rFonts w:hint="eastAsia" w:ascii="宋体" w:hAnsi="宋体" w:cs="仿宋_GB2312"/>
          <w:szCs w:val="21"/>
        </w:rPr>
        <w:t xml:space="preserve">。</w:t>
      </w:r>
      <w:r/>
    </w:p>
    <w:p>
      <w:pPr>
        <w:ind w:firstLine="480"/>
        <w:spacing w:line="360" w:lineRule="auto"/>
        <w:rPr>
          <w:rFonts w:ascii="宋体" w:hAnsi="宋体" w:cs="仿宋_GB2312"/>
          <w:szCs w:val="21"/>
        </w:rPr>
      </w:pPr>
      <w:r>
        <w:rPr>
          <w:rFonts w:hint="eastAsia" w:ascii="宋体" w:hAnsi="宋体" w:cs="仿宋_GB2312"/>
          <w:szCs w:val="21"/>
        </w:rPr>
        <w:t xml:space="preserve">2、甲方支付此项费用外不再承担其它任何费用（包括个人），乙方人员的薪金、福利、休假日补贴等由乙方付给，与甲方无关。</w:t>
      </w:r>
      <w:r/>
    </w:p>
    <w:p>
      <w:pPr>
        <w:ind w:firstLine="480"/>
        <w:spacing w:line="360" w:lineRule="auto"/>
        <w:rPr>
          <w:rFonts w:ascii="宋体" w:hAnsi="宋体" w:cs="仿宋_GB2312"/>
          <w:szCs w:val="21"/>
        </w:rPr>
      </w:pPr>
      <w:r>
        <w:rPr>
          <w:rFonts w:hint="eastAsia" w:ascii="宋体" w:hAnsi="宋体" w:cs="仿宋_GB2312"/>
          <w:szCs w:val="21"/>
        </w:rPr>
        <w:t xml:space="preserve">3、因甲方工作需要，甲方需要乙方完成一些突击工作，乙方应无条件服从。如：安排人员临时加班。</w:t>
      </w:r>
      <w:r/>
    </w:p>
    <w:p>
      <w:pPr>
        <w:ind w:firstLine="482"/>
        <w:jc w:val="left"/>
        <w:spacing w:line="360" w:lineRule="auto"/>
        <w:widowControl/>
        <w:rPr>
          <w:rFonts w:ascii="宋体" w:hAnsi="宋体" w:cs="仿宋_GB2312"/>
          <w:b/>
          <w:bCs/>
          <w:szCs w:val="21"/>
        </w:rPr>
      </w:pPr>
      <w:r>
        <w:rPr>
          <w:rFonts w:hint="eastAsia" w:ascii="宋体" w:hAnsi="宋体" w:cs="仿宋_GB2312"/>
          <w:b/>
          <w:bCs/>
          <w:szCs w:val="21"/>
        </w:rPr>
        <w:t xml:space="preserve">四、</w:t>
      </w:r>
      <w:r>
        <w:rPr>
          <w:rFonts w:ascii="宋体" w:hAnsi="宋体" w:cs="仿宋_GB2312"/>
          <w:b/>
          <w:bCs/>
          <w:szCs w:val="21"/>
        </w:rPr>
        <w:t xml:space="preserve">服务工作</w:t>
      </w:r>
      <w:r>
        <w:rPr>
          <w:rFonts w:hint="eastAsia" w:ascii="宋体" w:hAnsi="宋体" w:cs="仿宋_GB2312"/>
          <w:b/>
          <w:bCs/>
          <w:szCs w:val="21"/>
        </w:rPr>
        <w:t xml:space="preserve">内容及要求</w:t>
      </w:r>
      <w:r/>
    </w:p>
    <w:p>
      <w:pPr>
        <w:ind w:left="520"/>
        <w:jc w:val="left"/>
        <w:spacing w:line="360" w:lineRule="auto"/>
        <w:widowControl/>
        <w:rPr>
          <w:rFonts w:ascii="宋体" w:hAnsi="宋体" w:cs="宋体"/>
          <w:szCs w:val="21"/>
        </w:rPr>
      </w:pPr>
      <w:r>
        <w:rPr>
          <w:rFonts w:hint="eastAsia" w:ascii="宋体" w:hAnsi="宋体" w:cs="宋体"/>
          <w:szCs w:val="21"/>
        </w:rPr>
        <w:t xml:space="preserve">（一）项目概况：</w:t>
      </w:r>
      <w:r/>
    </w:p>
    <w:p>
      <w:pPr>
        <w:ind w:firstLine="480"/>
        <w:spacing w:line="360" w:lineRule="auto"/>
        <w:rPr>
          <w:rFonts w:ascii="宋体" w:hAnsi="宋体"/>
          <w:szCs w:val="21"/>
        </w:rPr>
      </w:pPr>
      <w:r/>
      <w:bookmarkStart w:id="16" w:name="OLE_LINK33"/>
      <w:r/>
      <w:bookmarkStart w:id="17" w:name="OLE_LINK32"/>
      <w:r>
        <w:rPr>
          <w:rFonts w:hint="eastAsia" w:ascii="宋体" w:hAnsi="宋体"/>
          <w:szCs w:val="21"/>
        </w:rPr>
        <w:t xml:space="preserve">1、农药集中配送：对全区粮油、蔬菜、林果等作物病虫草防治所需的主要农药实行统一采购、</w:t>
      </w:r>
      <w:r>
        <w:rPr>
          <w:rFonts w:hint="eastAsia" w:ascii="宋体" w:hAnsi="宋体"/>
          <w:szCs w:val="21"/>
        </w:rPr>
        <w:t xml:space="preserve">统一补贴、统一服务的农药集中配送，全区农药集中配送农药供应安全得到有效保障。</w:t>
      </w:r>
      <w:r/>
    </w:p>
    <w:p>
      <w:pPr>
        <w:ind w:firstLine="480"/>
        <w:spacing w:line="360" w:lineRule="auto"/>
        <w:rPr>
          <w:rFonts w:ascii="宋体" w:hAnsi="宋体"/>
          <w:szCs w:val="21"/>
        </w:rPr>
      </w:pPr>
      <w:r>
        <w:rPr>
          <w:rFonts w:hint="eastAsia" w:ascii="宋体" w:hAnsi="宋体"/>
          <w:szCs w:val="21"/>
        </w:rPr>
        <w:t xml:space="preserve">2、农药包装废弃物回收处置：对全区农业生产等产生的农药包装废弃物（包括与农药直接接触的瓶、罐、桶、袋等）统一进行回收、分类，集中进行无害化处置，实现全区农药包装废弃物应收尽收，回收农药包装废弃物包装物无害化处置率100%。   </w:t>
      </w:r>
      <w:r/>
    </w:p>
    <w:p>
      <w:pPr>
        <w:ind w:firstLine="480"/>
        <w:spacing w:line="360" w:lineRule="auto"/>
        <w:rPr>
          <w:rFonts w:ascii="宋体" w:hAnsi="宋体" w:cs="Arial"/>
          <w:bCs/>
          <w:szCs w:val="21"/>
        </w:rPr>
      </w:pPr>
      <w:r>
        <w:rPr>
          <w:rFonts w:hint="eastAsia" w:ascii="宋体" w:hAnsi="宋体"/>
          <w:szCs w:val="21"/>
        </w:rPr>
        <w:t xml:space="preserve">3、废旧农膜回收处置：对全区因农业生产产生的废旧地膜（残膜）进行统一回收、分类、归集，并做相应的处置，有效降低农业面源污染，全区废旧地膜回收率达98%以上，资源化利用率100%。</w:t>
      </w:r>
      <w:r/>
    </w:p>
    <w:p>
      <w:pPr>
        <w:ind w:firstLine="480"/>
        <w:jc w:val="left"/>
        <w:spacing w:line="360" w:lineRule="auto"/>
        <w:widowControl/>
        <w:rPr>
          <w:rFonts w:ascii="宋体" w:hAnsi="宋体" w:cs="宋体"/>
          <w:szCs w:val="21"/>
        </w:rPr>
      </w:pPr>
      <w:r>
        <w:rPr>
          <w:rFonts w:hint="eastAsia" w:ascii="宋体" w:hAnsi="宋体" w:cs="宋体"/>
          <w:szCs w:val="21"/>
        </w:rPr>
        <w:t xml:space="preserve">（二）配送及回收服务质量要求：</w:t>
      </w:r>
      <w:bookmarkEnd w:id="16"/>
      <w:r/>
      <w:bookmarkEnd w:id="17"/>
      <w:r/>
      <w:r/>
    </w:p>
    <w:p>
      <w:pPr>
        <w:ind w:left="420" w:firstLine="59"/>
        <w:jc w:val="left"/>
        <w:spacing w:line="360" w:lineRule="auto"/>
        <w:widowControl/>
        <w:rPr>
          <w:rFonts w:ascii="宋体" w:hAnsi="宋体" w:cs="宋体"/>
          <w:szCs w:val="21"/>
        </w:rPr>
      </w:pPr>
      <w:r>
        <w:rPr>
          <w:rFonts w:hint="eastAsia" w:ascii="宋体" w:hAnsi="宋体" w:cs="宋体"/>
          <w:szCs w:val="21"/>
        </w:rPr>
        <w:t xml:space="preserve">1、乙方需按照甲方业务部门制定的目录农药做好配送农药的公开招（议）标，价格不得高于苏州周边县市价格。</w:t>
      </w:r>
      <w:r/>
    </w:p>
    <w:p>
      <w:pPr>
        <w:ind w:left="420" w:firstLine="59"/>
        <w:jc w:val="left"/>
        <w:spacing w:line="360" w:lineRule="auto"/>
        <w:widowControl/>
        <w:rPr>
          <w:rFonts w:ascii="宋体" w:hAnsi="宋体" w:cs="宋体"/>
          <w:szCs w:val="21"/>
        </w:rPr>
      </w:pPr>
      <w:r>
        <w:rPr>
          <w:rFonts w:hint="eastAsia" w:ascii="宋体" w:hAnsi="宋体" w:cs="宋体"/>
          <w:szCs w:val="21"/>
        </w:rPr>
        <w:t xml:space="preserve">2、乙方根据甲方业务部门的技术要求，及时足量配送（销售）成交农药，确保农药配送的时效性。</w:t>
      </w:r>
      <w:r/>
    </w:p>
    <w:p>
      <w:pPr>
        <w:ind w:left="420" w:firstLine="59"/>
        <w:jc w:val="left"/>
        <w:spacing w:line="360" w:lineRule="auto"/>
        <w:widowControl/>
        <w:rPr>
          <w:rFonts w:ascii="宋体" w:hAnsi="宋体" w:cs="宋体"/>
          <w:szCs w:val="21"/>
        </w:rPr>
      </w:pPr>
      <w:r>
        <w:rPr>
          <w:rFonts w:hint="eastAsia" w:ascii="宋体" w:hAnsi="宋体" w:cs="宋体"/>
          <w:szCs w:val="21"/>
        </w:rPr>
        <w:t xml:space="preserve">3、乙方在各配送（回收）站点积极开展农药包装废弃物及地膜残膜回收并及时做好无害化处置工作。</w:t>
      </w:r>
      <w:r/>
    </w:p>
    <w:p>
      <w:pPr>
        <w:ind w:left="420" w:firstLine="59"/>
        <w:jc w:val="left"/>
        <w:spacing w:line="360" w:lineRule="auto"/>
        <w:widowControl/>
        <w:rPr>
          <w:rFonts w:ascii="宋体" w:hAnsi="宋体" w:cs="宋体"/>
          <w:szCs w:val="21"/>
        </w:rPr>
      </w:pPr>
      <w:r>
        <w:rPr>
          <w:rFonts w:hint="eastAsia" w:ascii="宋体" w:hAnsi="宋体" w:cs="宋体"/>
          <w:szCs w:val="21"/>
        </w:rPr>
        <w:t xml:space="preserve">4、乙方必须有真实完整的农药购销记录，应使用相城区智慧农资云平台，成交农药商品信息，农药购进、储存、配送、销售环节信息需及时录入相城区智慧农资云平台。成交单位在各配送（回收）站点统一配备农药实名制购买相关设备。</w:t>
      </w:r>
      <w:r/>
    </w:p>
    <w:p>
      <w:pPr>
        <w:ind w:firstLine="480"/>
        <w:jc w:val="left"/>
        <w:spacing w:line="360" w:lineRule="auto"/>
        <w:widowControl/>
        <w:rPr>
          <w:rFonts w:ascii="宋体" w:hAnsi="宋体" w:cs="宋体"/>
          <w:szCs w:val="21"/>
        </w:rPr>
      </w:pPr>
      <w:r>
        <w:rPr>
          <w:rFonts w:hint="eastAsia" w:ascii="宋体" w:hAnsi="宋体" w:cs="宋体"/>
          <w:szCs w:val="21"/>
        </w:rPr>
        <w:t xml:space="preserve">5、乙方应做到集中配送农药的品种、价格，农药包装废弃物及地膜（残膜）回收价格等信息在配送点的醒目处公示，并协助采购单位业务部门做好农药集中配送和农药包装废弃物及地膜（残膜）回收政策、农药科学安全使用、病虫草害防治技术指导等宣传工作以及协助开展农药使用量调查、病虫害防治进度调度、病虫草害新农药试验示范等工作。</w:t>
      </w:r>
      <w:r/>
    </w:p>
    <w:p>
      <w:pPr>
        <w:ind w:left="420" w:firstLine="59"/>
        <w:jc w:val="left"/>
        <w:spacing w:line="360" w:lineRule="auto"/>
        <w:widowControl/>
        <w:rPr>
          <w:rFonts w:ascii="宋体" w:hAnsi="宋体" w:cs="宋体"/>
          <w:szCs w:val="21"/>
        </w:rPr>
      </w:pPr>
      <w:r>
        <w:rPr>
          <w:rFonts w:hint="eastAsia" w:ascii="宋体" w:hAnsi="宋体" w:cs="宋体"/>
          <w:szCs w:val="21"/>
        </w:rPr>
        <w:t xml:space="preserve">6、乙方应建立并执行购药进货检查验收制度，验明农药合格证明和其他标识确保购进农药质量安全。</w:t>
      </w:r>
      <w:r/>
    </w:p>
    <w:p>
      <w:pPr>
        <w:ind w:left="420" w:firstLine="59"/>
        <w:jc w:val="left"/>
        <w:spacing w:line="360" w:lineRule="auto"/>
        <w:widowControl/>
        <w:rPr>
          <w:rFonts w:ascii="宋体" w:hAnsi="宋体" w:cs="宋体"/>
          <w:szCs w:val="21"/>
        </w:rPr>
      </w:pPr>
      <w:r>
        <w:rPr>
          <w:rFonts w:hint="eastAsia" w:ascii="宋体" w:hAnsi="宋体" w:cs="宋体"/>
          <w:szCs w:val="21"/>
        </w:rPr>
        <w:t xml:space="preserve">7、乙方统一使用相城区智慧农资云平台开展配送和回收工作。乙方应制定完整的规章制度对配送（回收）网点进行制度化规范管理，对各配送（回收）网点开展日常监督及季度专项监督，重点核查各网点台账完整性、规范性，逐一核对农药配送数量与实际出库数据，确保账实相符，精准核对各网点回收农药包装废弃物及废旧农膜数量、种类及暂存情况，各网点需主动配合监督检查，及时整改问题。乙方应每半年组织开展一次工作总结，梳理配送中心和配送（回收）网点运营情况报送甲方。配送中心和各网点应按要求规范留存台账及相关凭证，定期上报配送、回收数据。</w:t>
      </w:r>
      <w:r/>
    </w:p>
    <w:p>
      <w:pPr>
        <w:ind w:left="420" w:firstLine="59"/>
        <w:jc w:val="left"/>
        <w:spacing w:line="360" w:lineRule="auto"/>
        <w:widowControl/>
        <w:rPr>
          <w:rFonts w:ascii="宋体" w:hAnsi="宋体" w:cs="宋体"/>
          <w:szCs w:val="21"/>
        </w:rPr>
      </w:pPr>
      <w:r>
        <w:rPr>
          <w:rFonts w:hint="eastAsia" w:ascii="宋体" w:hAnsi="宋体" w:cs="宋体"/>
          <w:szCs w:val="21"/>
        </w:rPr>
        <w:t xml:space="preserve">8、甲方采购的免费农药由乙方（配送中心）配送给种植主体但不享受配送补贴。</w:t>
      </w:r>
      <w:r/>
    </w:p>
    <w:p>
      <w:pPr>
        <w:ind w:left="420" w:firstLine="59"/>
        <w:jc w:val="left"/>
        <w:spacing w:line="360" w:lineRule="auto"/>
        <w:widowControl/>
        <w:rPr>
          <w:rFonts w:ascii="宋体" w:hAnsi="宋体" w:cs="仿宋_GB2312"/>
          <w:b/>
          <w:bCs/>
          <w:szCs w:val="21"/>
        </w:rPr>
      </w:pPr>
      <w:r>
        <w:rPr>
          <w:rFonts w:hint="eastAsia" w:ascii="宋体" w:hAnsi="宋体" w:cs="仿宋_GB2312"/>
          <w:b/>
          <w:bCs/>
          <w:szCs w:val="21"/>
        </w:rPr>
        <w:t xml:space="preserve">五、不可抗力</w:t>
      </w:r>
      <w:r/>
    </w:p>
    <w:p>
      <w:pPr>
        <w:ind w:firstLine="480"/>
        <w:spacing w:line="360" w:lineRule="auto"/>
        <w:rPr>
          <w:rFonts w:ascii="宋体" w:hAnsi="宋体" w:cs="仿宋_GB2312"/>
          <w:szCs w:val="21"/>
        </w:rPr>
      </w:pPr>
      <w:r>
        <w:rPr>
          <w:rFonts w:ascii="宋体" w:hAnsi="宋体" w:cs="仿宋_GB2312"/>
          <w:szCs w:val="21"/>
        </w:rPr>
        <w:t xml:space="preserve">1</w:t>
      </w:r>
      <w:r>
        <w:rPr>
          <w:rFonts w:hint="eastAsia" w:ascii="宋体" w:hAnsi="宋体" w:cs="仿宋_GB2312"/>
          <w:szCs w:val="21"/>
        </w:rPr>
        <w:t xml:space="preserve">、因不可抗力不能履行合同的，根据不可抗力的影响，部分或者全部免除责任。但合同一方延迟履行后发生不可抗力的，不能免除责任。</w:t>
      </w:r>
      <w:r/>
    </w:p>
    <w:p>
      <w:pPr>
        <w:ind w:firstLine="480"/>
        <w:jc w:val="left"/>
        <w:spacing w:line="360" w:lineRule="auto"/>
        <w:widowControl/>
        <w:rPr>
          <w:rFonts w:ascii="宋体" w:hAnsi="宋体" w:cs="仿宋_GB2312"/>
          <w:szCs w:val="21"/>
        </w:rPr>
      </w:pPr>
      <w:r>
        <w:rPr>
          <w:rFonts w:ascii="宋体" w:hAnsi="宋体" w:cs="仿宋_GB2312"/>
          <w:szCs w:val="21"/>
        </w:rPr>
        <w:t xml:space="preserve">2</w:t>
      </w:r>
      <w:r>
        <w:rPr>
          <w:rFonts w:hint="eastAsia" w:ascii="宋体" w:hAnsi="宋体" w:cs="仿宋_GB2312"/>
          <w:szCs w:val="21"/>
        </w:rPr>
        <w:t xml:space="preserve">、合同一方因不可抗力不能履行合同的，应当及时通知对方，以减轻可能给对方造成的损失，并应当在合理期限内提供证明。</w:t>
      </w:r>
      <w:r/>
    </w:p>
    <w:p>
      <w:pPr>
        <w:ind w:firstLine="482"/>
        <w:jc w:val="left"/>
        <w:spacing w:line="360" w:lineRule="auto"/>
        <w:widowControl/>
        <w:rPr>
          <w:rFonts w:ascii="宋体" w:hAnsi="宋体" w:cs="仿宋_GB2312"/>
          <w:b/>
          <w:szCs w:val="21"/>
        </w:rPr>
      </w:pPr>
      <w:r>
        <w:rPr>
          <w:rFonts w:hint="eastAsia" w:ascii="宋体" w:hAnsi="宋体" w:cs="仿宋_GB2312"/>
          <w:b/>
          <w:szCs w:val="21"/>
        </w:rPr>
        <w:t xml:space="preserve">六、合同的解除和转让</w:t>
      </w:r>
      <w:r/>
    </w:p>
    <w:p>
      <w:pPr>
        <w:ind w:firstLine="48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、甲方和乙方协商一致，可以解除合同。</w:t>
      </w:r>
      <w:r/>
    </w:p>
    <w:p>
      <w:pPr>
        <w:ind w:firstLine="48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、有下列情形之一，合同一方可以解除合同：</w:t>
      </w:r>
      <w:r/>
    </w:p>
    <w:p>
      <w:pPr>
        <w:ind w:firstLine="480"/>
        <w:spacing w:line="360" w:lineRule="auto"/>
        <w:rPr>
          <w:rFonts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firstLine="480"/>
        <w:spacing w:line="360" w:lineRule="auto"/>
        <w:rPr>
          <w:rFonts w:ascii="宋体" w:hAnsi="宋体" w:cs="宋体"/>
          <w:szCs w:val="21"/>
        </w:rPr>
      </w:pPr>
      <w:r>
        <w:rPr>
          <w:rFonts w:hint="eastAsia" w:ascii="宋体" w:hAnsi="宋体" w:cs="宋体"/>
          <w:szCs w:val="21"/>
        </w:rPr>
        <w:t xml:space="preserve">（2）因合同一方违约导致合同不能履行，另一方有权解除合同；</w:t>
      </w:r>
      <w:r/>
    </w:p>
    <w:p>
      <w:pPr>
        <w:ind w:firstLine="480"/>
        <w:spacing w:line="360" w:lineRule="auto"/>
        <w:rPr>
          <w:rFonts w:ascii="宋体" w:hAnsi="宋体" w:cs="宋体"/>
          <w:szCs w:val="21"/>
        </w:rPr>
      </w:pPr>
      <w:r>
        <w:rPr>
          <w:rFonts w:hint="eastAsia" w:ascii="宋体" w:hAnsi="宋体" w:cs="宋体"/>
          <w:szCs w:val="21"/>
        </w:rPr>
        <w:t xml:space="preserve">（3）因乙方在履行合同过程中造成社会不良影响的，甲方有权解除合同。</w:t>
      </w:r>
      <w:r/>
    </w:p>
    <w:p>
      <w:pPr>
        <w:ind w:firstLine="48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、有权解除合同的一方，应当在违约事实或不可抗力发生之后三十天内书面通知对方以主张解除合同，合同在书面通知到达对方时解除。</w:t>
      </w:r>
      <w:r/>
    </w:p>
    <w:p>
      <w:pPr>
        <w:ind w:firstLine="477"/>
        <w:spacing w:line="360" w:lineRule="auto"/>
        <w:rPr>
          <w:rFonts w:ascii="宋体" w:hAnsi="宋体"/>
          <w:b/>
          <w:bCs/>
          <w:szCs w:val="21"/>
        </w:rPr>
      </w:pPr>
      <w:r>
        <w:rPr>
          <w:rFonts w:ascii="宋体" w:hAnsi="宋体"/>
          <w:b/>
          <w:bCs/>
          <w:szCs w:val="21"/>
        </w:rPr>
        <w:t xml:space="preserve">4</w:t>
      </w:r>
      <w:r>
        <w:rPr>
          <w:rFonts w:hint="eastAsia" w:ascii="宋体" w:hAnsi="宋体"/>
          <w:b/>
          <w:bCs/>
          <w:szCs w:val="21"/>
        </w:rPr>
        <w:t xml:space="preserve">、依据预留项目和价格扣除等优惠政策获取政府采购合同后，小型、微型企业不得分包或转包给大型、中型企业，中型企业不得分包或转包给大型企业。</w:t>
      </w:r>
      <w:r/>
    </w:p>
    <w:p>
      <w:pPr>
        <w:ind w:firstLine="477"/>
        <w:spacing w:line="360" w:lineRule="auto"/>
        <w:rPr>
          <w:rFonts w:ascii="宋体" w:hAnsi="宋体"/>
          <w:b/>
          <w:bCs/>
          <w:szCs w:val="21"/>
        </w:rPr>
      </w:pPr>
      <w:r>
        <w:rPr>
          <w:rFonts w:ascii="宋体" w:hAnsi="宋体"/>
          <w:b/>
          <w:bCs/>
          <w:szCs w:val="21"/>
        </w:rPr>
        <w:t xml:space="preserve">5</w:t>
      </w:r>
      <w:r>
        <w:rPr>
          <w:rFonts w:hint="eastAsia" w:ascii="宋体" w:hAnsi="宋体"/>
          <w:b/>
          <w:bCs/>
          <w:szCs w:val="21"/>
        </w:rPr>
        <w:t xml:space="preserve">、本合同履行过程中出现危害国家利益和社会公共利益问题的，甲方有权立即终止合同。</w:t>
      </w:r>
      <w:r/>
    </w:p>
    <w:p>
      <w:pPr>
        <w:ind w:firstLine="475"/>
        <w:spacing w:line="360" w:lineRule="auto"/>
        <w:rPr>
          <w:rFonts w:ascii="宋体" w:hAnsi="宋体"/>
          <w:szCs w:val="21"/>
        </w:rPr>
      </w:pPr>
      <w:r>
        <w:rPr>
          <w:rFonts w:hint="eastAsia" w:ascii="宋体" w:hAnsi="宋体"/>
          <w:szCs w:val="21"/>
        </w:rPr>
        <w:t xml:space="preserve">6、有权解除合同的一方，应当在其知道或者应当知道解除事由之日起【一年】内书面通知对方提出解除合同；另一方如有异议，应当在解除合同通知到达之日起【7】日内提出异议，否则视为无异议。</w:t>
      </w:r>
      <w:r/>
    </w:p>
    <w:p>
      <w:pPr>
        <w:ind w:firstLine="480"/>
        <w:jc w:val="left"/>
        <w:spacing w:line="360" w:lineRule="auto"/>
        <w:widowControl/>
        <w:rPr>
          <w:rFonts w:ascii="宋体" w:hAnsi="宋体" w:cs="宋体"/>
          <w:bCs/>
          <w:szCs w:val="21"/>
        </w:rPr>
      </w:pPr>
      <w:r>
        <w:rPr>
          <w:rFonts w:hint="eastAsia" w:ascii="宋体" w:hAnsi="宋体" w:cs="宋体"/>
          <w:bCs/>
          <w:szCs w:val="21"/>
        </w:rPr>
        <w:t xml:space="preserve">7、配送及回收服务合同终止情况：</w:t>
      </w:r>
      <w:r/>
    </w:p>
    <w:p>
      <w:pPr>
        <w:ind w:firstLine="480"/>
        <w:jc w:val="left"/>
        <w:spacing w:line="360" w:lineRule="auto"/>
        <w:widowControl/>
        <w:rPr>
          <w:rFonts w:ascii="宋体" w:hAnsi="宋体" w:cs="宋体"/>
          <w:bCs/>
          <w:szCs w:val="21"/>
        </w:rPr>
      </w:pPr>
      <w:r>
        <w:rPr>
          <w:rFonts w:hint="eastAsia" w:ascii="宋体" w:hAnsi="宋体" w:cs="宋体"/>
          <w:bCs/>
          <w:szCs w:val="21"/>
        </w:rPr>
        <w:t xml:space="preserve">7.1配送药剂要求：所有配送药剂必须来自零差率农药招标目录，且遵从区农技部门的技术要求，若擅自在相城区域内以零差价配送非招标目录药剂，视为违约，自动终止合同。</w:t>
      </w:r>
      <w:r/>
    </w:p>
    <w:p>
      <w:pPr>
        <w:ind w:firstLine="480"/>
        <w:jc w:val="left"/>
        <w:spacing w:line="360" w:lineRule="auto"/>
        <w:widowControl/>
        <w:rPr>
          <w:rFonts w:ascii="宋体" w:hAnsi="宋体" w:cs="宋体"/>
          <w:bCs/>
          <w:szCs w:val="21"/>
        </w:rPr>
      </w:pPr>
      <w:r>
        <w:rPr>
          <w:rFonts w:hint="eastAsia" w:ascii="宋体" w:hAnsi="宋体" w:cs="宋体"/>
          <w:bCs/>
          <w:szCs w:val="21"/>
        </w:rPr>
        <w:t xml:space="preserve">7.2配送数量要求：农药配送数量根据乡镇需求情况来定，应符合乡镇实际种植情况，若存在虚报配送数量、弄虚作假等行为，视为违约，立即终止合同。</w:t>
      </w:r>
      <w:r/>
    </w:p>
    <w:p>
      <w:pPr>
        <w:ind w:firstLine="480"/>
        <w:jc w:val="left"/>
        <w:spacing w:line="360" w:lineRule="auto"/>
        <w:widowControl/>
        <w:rPr>
          <w:rFonts w:ascii="宋体" w:hAnsi="宋体" w:cs="宋体"/>
          <w:bCs/>
          <w:szCs w:val="21"/>
        </w:rPr>
      </w:pPr>
      <w:r>
        <w:rPr>
          <w:rFonts w:hint="eastAsia" w:ascii="宋体" w:hAnsi="宋体" w:cs="宋体"/>
          <w:bCs/>
          <w:szCs w:val="21"/>
        </w:rPr>
        <w:t xml:space="preserve">7.3配送时效要求：根据区农技中心发布的病虫情报，及时将药剂配送到各乡镇站点，各站点在规定时间内将药剂配送到种植农户。如若出现配送延迟，将作为年终考核重要依据：每年出现3次及以上配送延迟，立即终止合同。</w:t>
      </w:r>
      <w:r/>
    </w:p>
    <w:p>
      <w:pPr>
        <w:ind w:firstLine="482"/>
        <w:jc w:val="left"/>
        <w:spacing w:line="360" w:lineRule="auto"/>
        <w:widowControl/>
        <w:rPr>
          <w:rFonts w:ascii="宋体" w:hAnsi="宋体" w:cs="仿宋_GB2312"/>
          <w:b/>
          <w:bCs/>
          <w:szCs w:val="21"/>
        </w:rPr>
      </w:pPr>
      <w:r>
        <w:rPr>
          <w:rFonts w:hint="eastAsia" w:ascii="宋体" w:hAnsi="宋体" w:cs="仿宋_GB2312"/>
          <w:b/>
          <w:bCs/>
          <w:szCs w:val="21"/>
        </w:rPr>
        <w:t xml:space="preserve">七、违约责任</w:t>
      </w:r>
      <w:r/>
    </w:p>
    <w:p>
      <w:pPr>
        <w:ind w:firstLine="480"/>
        <w:jc w:val="left"/>
        <w:spacing w:line="360" w:lineRule="auto"/>
        <w:widowControl/>
        <w:rPr>
          <w:rFonts w:ascii="宋体" w:hAnsi="宋体" w:cs="仿宋_GB2312"/>
          <w:szCs w:val="21"/>
        </w:rPr>
      </w:pPr>
      <w:r>
        <w:rPr>
          <w:rFonts w:hint="eastAsia" w:ascii="宋体" w:hAnsi="宋体" w:cs="仿宋_GB2312"/>
          <w:szCs w:val="21"/>
        </w:rPr>
        <w:t xml:space="preserve">1、合同一方不履行合同义务或者履行合同义务不符合约定的，应当承担继续履行、采取补救措施或赔偿损失等违约责任。</w:t>
      </w:r>
      <w:r/>
    </w:p>
    <w:p>
      <w:pPr>
        <w:ind w:firstLine="480"/>
        <w:jc w:val="left"/>
        <w:spacing w:line="360" w:lineRule="auto"/>
        <w:widowControl/>
        <w:rPr>
          <w:rFonts w:ascii="宋体" w:hAnsi="宋体" w:cs="仿宋_GB2312"/>
          <w:szCs w:val="21"/>
        </w:rPr>
      </w:pPr>
      <w:r>
        <w:rPr>
          <w:rFonts w:hint="eastAsia" w:ascii="宋体" w:hAnsi="宋体" w:cs="仿宋_GB2312"/>
          <w:szCs w:val="21"/>
        </w:rPr>
        <w:t xml:space="preserve">2、甲方违约责任。甲方未按照约定时间支付合同价款的，应当承担逾期付款违约责任。</w:t>
      </w:r>
      <w:r/>
    </w:p>
    <w:p>
      <w:pPr>
        <w:ind w:firstLine="480"/>
        <w:jc w:val="left"/>
        <w:spacing w:line="360" w:lineRule="auto"/>
        <w:widowControl/>
        <w:rPr>
          <w:rFonts w:ascii="宋体" w:hAnsi="宋体" w:cs="仿宋_GB2312"/>
          <w:szCs w:val="21"/>
        </w:rPr>
      </w:pPr>
      <w:r>
        <w:rPr>
          <w:rFonts w:hint="eastAsia" w:ascii="宋体" w:hAnsi="宋体" w:cs="仿宋_GB2312"/>
          <w:szCs w:val="21"/>
        </w:rPr>
        <w:t xml:space="preserve">3、乙方违约责任。</w:t>
      </w:r>
      <w:r/>
    </w:p>
    <w:p>
      <w:pPr>
        <w:ind w:firstLine="480"/>
        <w:jc w:val="left"/>
        <w:spacing w:line="360" w:lineRule="auto"/>
        <w:widowControl/>
        <w:rPr>
          <w:rFonts w:ascii="宋体" w:hAnsi="宋体" w:cs="仿宋_GB2312"/>
          <w:szCs w:val="21"/>
        </w:rPr>
      </w:pPr>
      <w:r>
        <w:rPr>
          <w:rFonts w:hint="eastAsia" w:ascii="宋体" w:hAnsi="宋体" w:cs="仿宋_GB2312"/>
          <w:szCs w:val="21"/>
        </w:rPr>
        <w:t xml:space="preserve">3.1甲方有权按照本合同第四条规定对乙方进行考核，并按照考核办法的规定要求乙方承担相应责任。</w:t>
      </w:r>
      <w:r/>
    </w:p>
    <w:p>
      <w:pPr>
        <w:ind w:firstLine="480"/>
        <w:jc w:val="left"/>
        <w:spacing w:line="360" w:lineRule="auto"/>
        <w:widowControl/>
        <w:rPr>
          <w:rFonts w:ascii="宋体" w:hAnsi="宋体" w:cs="仿宋_GB2312"/>
          <w:szCs w:val="21"/>
        </w:rPr>
      </w:pPr>
      <w:r>
        <w:rPr>
          <w:rFonts w:hint="eastAsia" w:ascii="宋体" w:hAnsi="宋体" w:cs="仿宋_GB2312"/>
          <w:szCs w:val="21"/>
        </w:rPr>
        <w:t xml:space="preserve">3.2乙方承担的违约金不足以赔偿甲方实际损失的，甲方有权要求乙方继续赔偿。</w:t>
      </w:r>
      <w:r/>
    </w:p>
    <w:p>
      <w:pPr>
        <w:ind w:firstLine="480"/>
        <w:jc w:val="left"/>
        <w:spacing w:line="360" w:lineRule="auto"/>
        <w:widowControl/>
        <w:rPr>
          <w:rFonts w:ascii="宋体" w:hAnsi="宋体" w:cs="仿宋_GB2312"/>
          <w:szCs w:val="21"/>
        </w:rPr>
      </w:pPr>
      <w:r>
        <w:rPr>
          <w:rFonts w:hint="eastAsia" w:ascii="宋体" w:hAnsi="宋体" w:cs="仿宋_GB2312"/>
          <w:szCs w:val="21"/>
        </w:rPr>
        <w:t xml:space="preserve">3.3乙方履行合同不符合合同要求的，甲方有权责令乙方立即改正，乙方拒不改正或已经造成不良社会影响的，甲方有权要求乙方承担责任。</w:t>
      </w:r>
      <w:r/>
    </w:p>
    <w:p>
      <w:pPr>
        <w:ind w:firstLine="482"/>
        <w:jc w:val="left"/>
        <w:spacing w:line="360" w:lineRule="auto"/>
        <w:widowControl/>
        <w:rPr>
          <w:rFonts w:ascii="宋体" w:hAnsi="宋体" w:cs="仿宋_GB2312"/>
          <w:b/>
          <w:szCs w:val="21"/>
        </w:rPr>
      </w:pPr>
      <w:r>
        <w:rPr>
          <w:rFonts w:hint="eastAsia" w:ascii="宋体" w:hAnsi="宋体" w:cs="仿宋_GB2312"/>
          <w:b/>
          <w:szCs w:val="21"/>
        </w:rPr>
        <w:t xml:space="preserve">八、争议解决办法</w:t>
      </w:r>
      <w:r/>
    </w:p>
    <w:p>
      <w:pPr>
        <w:ind w:firstLine="480"/>
        <w:jc w:val="left"/>
        <w:spacing w:line="360" w:lineRule="auto"/>
        <w:widowControl/>
        <w:rPr>
          <w:rFonts w:ascii="宋体" w:hAnsi="宋体" w:cs="仿宋_GB2312"/>
          <w:szCs w:val="21"/>
        </w:rPr>
      </w:pPr>
      <w:r>
        <w:rPr>
          <w:rFonts w:hint="eastAsia" w:ascii="宋体" w:hAnsi="宋体" w:cs="仿宋_GB2312"/>
          <w:szCs w:val="21"/>
        </w:rPr>
        <w:t xml:space="preserve">因本合同或与本合同有关的一切事项发生争议，由双方友好协商解决。协商不成的，任何一方均可以向甲方所在地人民法院起诉。</w:t>
      </w:r>
      <w:r/>
    </w:p>
    <w:p>
      <w:pPr>
        <w:ind w:firstLine="482"/>
        <w:jc w:val="left"/>
        <w:spacing w:line="360" w:lineRule="auto"/>
        <w:widowControl/>
        <w:rPr>
          <w:rFonts w:ascii="宋体" w:hAnsi="宋体" w:cs="仿宋_GB2312"/>
          <w:b/>
          <w:szCs w:val="21"/>
        </w:rPr>
      </w:pPr>
      <w:r>
        <w:rPr>
          <w:rFonts w:hint="eastAsia" w:ascii="宋体" w:hAnsi="宋体" w:cs="仿宋_GB2312"/>
          <w:b/>
          <w:szCs w:val="21"/>
        </w:rPr>
        <w:t xml:space="preserve">九、合同生效</w:t>
      </w:r>
      <w:r/>
    </w:p>
    <w:p>
      <w:pPr>
        <w:ind w:firstLine="480"/>
        <w:jc w:val="left"/>
        <w:spacing w:line="360" w:lineRule="auto"/>
        <w:widowControl/>
        <w:rPr>
          <w:rFonts w:ascii="宋体" w:hAnsi="宋体" w:cs="仿宋_GB2312"/>
          <w:szCs w:val="21"/>
        </w:rPr>
      </w:pPr>
      <w:r>
        <w:rPr>
          <w:rFonts w:hint="eastAsia" w:ascii="宋体" w:hAnsi="宋体" w:cs="仿宋_GB2312"/>
          <w:szCs w:val="21"/>
        </w:rPr>
        <w:t xml:space="preserve">本合同经双方法定代表人或授权代表签字（或盖章）并经单位盖章后生效。</w:t>
      </w:r>
      <w:r/>
    </w:p>
    <w:p>
      <w:pPr>
        <w:ind w:firstLine="482"/>
        <w:jc w:val="left"/>
        <w:spacing w:line="360" w:lineRule="auto"/>
        <w:widowControl/>
        <w:rPr>
          <w:rFonts w:ascii="宋体" w:hAnsi="宋体" w:cs="仿宋_GB2312"/>
          <w:b/>
          <w:bCs/>
          <w:szCs w:val="21"/>
        </w:rPr>
      </w:pPr>
      <w:r>
        <w:rPr>
          <w:rFonts w:hint="eastAsia" w:ascii="宋体" w:hAnsi="宋体" w:cs="仿宋_GB2312"/>
          <w:b/>
          <w:bCs/>
          <w:szCs w:val="21"/>
        </w:rPr>
        <w:t xml:space="preserve">十、其他</w:t>
      </w:r>
      <w:r/>
    </w:p>
    <w:p>
      <w:pPr>
        <w:ind w:firstLine="480"/>
        <w:jc w:val="left"/>
        <w:spacing w:line="360" w:lineRule="auto"/>
        <w:widowControl/>
        <w:rPr>
          <w:rFonts w:ascii="宋体" w:hAnsi="宋体" w:cs="仿宋_GB2312"/>
          <w:szCs w:val="21"/>
        </w:rPr>
      </w:pPr>
      <w:r>
        <w:rPr>
          <w:rFonts w:hint="eastAsia" w:ascii="宋体" w:hAnsi="宋体"/>
          <w:szCs w:val="21"/>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2"/>
        <w:jc w:val="left"/>
        <w:spacing w:line="360" w:lineRule="auto"/>
        <w:widowControl/>
        <w:rPr>
          <w:rFonts w:ascii="宋体" w:hAnsi="宋体" w:cs="仿宋_GB2312"/>
          <w:b/>
          <w:szCs w:val="21"/>
        </w:rPr>
      </w:pPr>
      <w:r>
        <w:rPr>
          <w:rFonts w:hint="eastAsia" w:ascii="宋体" w:hAnsi="宋体" w:cs="仿宋_GB2312"/>
          <w:b/>
          <w:szCs w:val="21"/>
        </w:rPr>
        <w:t xml:space="preserve">十一、附则</w:t>
      </w:r>
      <w:r/>
    </w:p>
    <w:p>
      <w:pPr>
        <w:ind w:firstLine="480"/>
        <w:jc w:val="left"/>
        <w:spacing w:line="360" w:lineRule="auto"/>
        <w:widowControl/>
        <w:rPr>
          <w:rFonts w:ascii="宋体" w:hAnsi="宋体" w:cs="仿宋_GB2312"/>
          <w:szCs w:val="21"/>
        </w:rPr>
      </w:pPr>
      <w:r>
        <w:rPr>
          <w:rFonts w:hint="eastAsia" w:ascii="宋体" w:hAnsi="宋体" w:cs="仿宋_GB2312"/>
          <w:szCs w:val="21"/>
        </w:rPr>
        <w:t xml:space="preserve">1、本合同一式叁份，甲方执壹份，乙方执壹份，采购代理机构执壹份。</w:t>
      </w:r>
      <w:r/>
    </w:p>
    <w:p>
      <w:pPr>
        <w:ind w:firstLine="480"/>
        <w:jc w:val="left"/>
        <w:spacing w:line="360" w:lineRule="auto"/>
        <w:widowControl/>
        <w:rPr>
          <w:rFonts w:ascii="宋体" w:hAnsi="宋体" w:cs="仿宋_GB2312"/>
          <w:szCs w:val="21"/>
        </w:rPr>
      </w:pPr>
      <w:r>
        <w:rPr>
          <w:rFonts w:hint="eastAsia" w:ascii="宋体" w:hAnsi="宋体" w:cs="仿宋_GB2312"/>
          <w:szCs w:val="21"/>
        </w:rPr>
        <w:t xml:space="preserve">2、本合同文件使用中文书写、解释和说明。</w:t>
      </w:r>
      <w:r/>
    </w:p>
    <w:p>
      <w:pPr>
        <w:ind w:firstLine="480"/>
        <w:jc w:val="left"/>
        <w:spacing w:line="360" w:lineRule="auto"/>
        <w:widowControl/>
        <w:rPr>
          <w:rFonts w:ascii="宋体" w:hAnsi="宋体" w:cs="仿宋_GB2312"/>
          <w:szCs w:val="21"/>
        </w:rPr>
      </w:pPr>
      <w:r>
        <w:rPr>
          <w:rFonts w:hint="eastAsia" w:ascii="宋体" w:hAnsi="宋体" w:cs="仿宋_GB2312"/>
          <w:szCs w:val="21"/>
        </w:rPr>
        <w:t xml:space="preserve">3、本合同履行过程中产生的纪要、协议以及成交通知书、响应文件和采购文件为本合同的附件，与合同具有同等效力。</w:t>
      </w:r>
      <w:r/>
    </w:p>
    <w:p>
      <w:pPr>
        <w:ind w:firstLine="480"/>
        <w:jc w:val="left"/>
        <w:spacing w:line="360" w:lineRule="auto"/>
        <w:widowControl/>
        <w:rPr>
          <w:rFonts w:ascii="宋体" w:hAnsi="宋体" w:cs="仿宋_GB2312"/>
          <w:szCs w:val="21"/>
        </w:rPr>
      </w:pPr>
      <w:r>
        <w:rPr>
          <w:rFonts w:hint="eastAsia" w:ascii="宋体" w:hAnsi="宋体" w:cs="仿宋_GB2312"/>
          <w:szCs w:val="21"/>
        </w:rPr>
        <w:t xml:space="preserve">4、未尽事宜</w:t>
      </w:r>
      <w:r/>
    </w:p>
    <w:p>
      <w:pPr>
        <w:ind w:firstLine="420"/>
        <w:spacing w:line="360" w:lineRule="auto"/>
        <w:rPr>
          <w:rFonts w:ascii="宋体" w:hAnsi="宋体"/>
          <w:szCs w:val="21"/>
        </w:rPr>
      </w:pPr>
      <w:r>
        <w:rPr>
          <w:rFonts w:hint="eastAsia" w:ascii="宋体" w:hAnsi="宋体" w:cs="仿宋_GB2312"/>
          <w:szCs w:val="21"/>
        </w:rPr>
        <w:t xml:space="preserve">按《中华人民共和国民法典》及其他有关的法律法规的规定执行</w:t>
      </w:r>
      <w:r>
        <w:rPr>
          <w:rFonts w:hint="eastAsia" w:ascii="宋体" w:hAnsi="宋体"/>
          <w:szCs w:val="21"/>
        </w:rPr>
        <w:t xml:space="preserve">。 </w:t>
      </w:r>
      <w:r/>
    </w:p>
    <w:p>
      <w:pPr>
        <w:pStyle w:val="817"/>
        <w:ind w:left="0" w:firstLine="0"/>
        <w:rPr>
          <w:rFonts w:hint="eastAsia"/>
        </w:rPr>
      </w:pPr>
      <w:r>
        <w:rPr>
          <w:rFonts w:hint="eastAsia"/>
        </w:rPr>
      </w:r>
      <w:r/>
    </w:p>
    <w:p>
      <w:pPr>
        <w:pStyle w:val="817"/>
        <w:ind w:left="0" w:firstLine="0"/>
      </w:pPr>
      <w:r/>
      <w:r/>
    </w:p>
    <w:p>
      <w:pPr>
        <w:spacing w:line="360" w:lineRule="auto"/>
        <w:rPr>
          <w:rFonts w:ascii="宋体" w:hAnsi="宋体"/>
          <w:szCs w:val="21"/>
        </w:rPr>
      </w:pPr>
      <w:r>
        <w:rPr>
          <w:rFonts w:hint="eastAsia" w:ascii="宋体" w:hAnsi="宋体"/>
          <w:szCs w:val="21"/>
        </w:rPr>
        <w:t xml:space="preserve">甲方（公章）：                     </w:t>
      </w:r>
      <w:r>
        <w:rPr>
          <w:rFonts w:hint="eastAsia" w:ascii="宋体" w:hAnsi="宋体"/>
          <w:szCs w:val="21"/>
        </w:rPr>
        <w:t xml:space="preserve">             </w:t>
      </w:r>
      <w:r>
        <w:rPr>
          <w:rFonts w:hint="eastAsia" w:ascii="宋体" w:hAnsi="宋体"/>
          <w:szCs w:val="21"/>
        </w:rPr>
        <w:t xml:space="preserve"> 乙方（公章）：</w:t>
      </w:r>
      <w:r/>
    </w:p>
    <w:p>
      <w:pPr>
        <w:spacing w:line="360" w:lineRule="auto"/>
        <w:rPr>
          <w:rFonts w:ascii="宋体" w:hAnsi="宋体"/>
          <w:szCs w:val="21"/>
        </w:rPr>
      </w:pPr>
      <w:r>
        <w:rPr>
          <w:rFonts w:hint="eastAsia" w:ascii="宋体" w:hAnsi="宋体"/>
          <w:szCs w:val="21"/>
        </w:rPr>
        <w:t xml:space="preserve">法定代表人或授权代表（签字或盖章）：             法定代表人或授权代表（签字或盖章）： </w:t>
      </w:r>
      <w:r/>
    </w:p>
    <w:p>
      <w:pPr>
        <w:spacing w:line="360" w:lineRule="auto"/>
      </w:pPr>
      <w:r>
        <w:rPr>
          <w:rFonts w:hint="eastAsia" w:ascii="宋体" w:hAnsi="宋体"/>
          <w:szCs w:val="21"/>
        </w:rPr>
        <w:t xml:space="preserve">签约日期：                                  </w:t>
      </w:r>
      <w:r>
        <w:rPr>
          <w:rFonts w:hint="eastAsia" w:ascii="宋体" w:hAnsi="宋体"/>
          <w:szCs w:val="21"/>
        </w:rPr>
        <w:t xml:space="preserve">     </w:t>
      </w:r>
      <w:r>
        <w:rPr>
          <w:rFonts w:hint="eastAsia" w:ascii="宋体" w:hAnsi="宋体"/>
          <w:szCs w:val="21"/>
        </w:rPr>
        <w:t xml:space="preserve">签约日期： </w:t>
      </w:r>
      <w:r/>
    </w:p>
    <w:p>
      <w:pPr>
        <w:spacing w:line="360" w:lineRule="auto"/>
        <w:rPr>
          <w:rFonts w:ascii="宋体" w:hAnsi="宋体"/>
        </w:rPr>
      </w:pPr>
      <w:r>
        <w:rPr>
          <w:rFonts w:hint="eastAsia" w:ascii="宋体" w:hAnsi="宋体"/>
          <w:szCs w:val="21"/>
        </w:rPr>
        <w:t xml:space="preserve">合同签定地：</w:t>
      </w:r>
      <w:r/>
    </w:p>
    <w:p>
      <w:pPr>
        <w:pStyle w:val="817"/>
        <w:ind w:left="0" w:firstLine="0"/>
      </w:p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440" w:lineRule="exact"/>
        <w:rPr>
          <w:rFonts w:ascii="宋体" w:hAnsi="宋体" w:cs="宋体"/>
          <w:b/>
          <w:szCs w:val="21"/>
        </w:rPr>
      </w:pPr>
      <w:r>
        <w:rPr>
          <w:rFonts w:hint="eastAsia" w:ascii="宋体" w:hAnsi="宋体" w:cs="宋体"/>
          <w:b/>
          <w:szCs w:val="21"/>
        </w:rPr>
        <w:t xml:space="preserve">说明：</w:t>
      </w:r>
      <w:r/>
    </w:p>
    <w:p>
      <w:pPr>
        <w:pStyle w:val="973"/>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973"/>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w:t>
      </w:r>
      <w:r>
        <w:rPr>
          <w:rFonts w:hint="eastAsia" w:ascii="宋体" w:hAnsi="宋体" w:cs="宋体"/>
          <w:b/>
          <w:bCs/>
          <w:szCs w:val="21"/>
        </w:rPr>
        <w:t xml:space="preserve">（以下为参考格式，具体以系统格式为准）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741"/>
        <w:gridCol w:w="4872"/>
      </w:tblGrid>
      <w:tr>
        <w:trPr>
          <w:cantSplit/>
          <w:jc w:val="center"/>
          <w:trHeight w:val="1098"/>
        </w:trPr>
        <w:tc>
          <w:tcPr>
            <w:tcBorders>
              <w:top w:val="single" w:color="000000" w:sz="4" w:space="0"/>
              <w:left w:val="single" w:color="000000" w:sz="4" w:space="0"/>
              <w:bottom w:val="single" w:color="000000" w:sz="4" w:space="0"/>
              <w:right w:val="single" w:color="000000" w:sz="4" w:space="0"/>
            </w:tcBorders>
            <w:tcW w:w="3741" w:type="dxa"/>
            <w:vAlign w:val="center"/>
            <w:textDirection w:val="lrTb"/>
            <w:noWrap w:val="false"/>
          </w:tcPr>
          <w:p>
            <w:pPr>
              <w:jc w:val="center"/>
              <w:spacing w:line="600" w:lineRule="exact"/>
              <w:widowControl/>
              <w:rPr>
                <w:rFonts w:ascii="宋体" w:hAnsi="宋体"/>
                <w:szCs w:val="21"/>
              </w:rPr>
            </w:pPr>
            <w:r>
              <w:rPr>
                <w:rFonts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val="false"/>
          </w:tcPr>
          <w:p>
            <w:pPr>
              <w:jc w:val="center"/>
              <w:spacing w:line="600" w:lineRule="exact"/>
              <w:widowControl/>
              <w:rPr>
                <w:rFonts w:ascii="宋体" w:hAnsi="宋体"/>
                <w:szCs w:val="21"/>
              </w:rPr>
            </w:pPr>
            <w:r>
              <w:rPr>
                <w:rFonts w:ascii="宋体" w:hAnsi="宋体"/>
                <w:szCs w:val="21"/>
              </w:rPr>
              <w:t xml:space="preserve">投标</w:t>
            </w:r>
            <w:r>
              <w:rPr>
                <w:rFonts w:hint="eastAsia" w:ascii="宋体" w:hAnsi="宋体"/>
                <w:szCs w:val="21"/>
              </w:rPr>
              <w:t xml:space="preserve">总报价</w:t>
            </w:r>
            <w:r/>
          </w:p>
        </w:tc>
      </w:tr>
      <w:tr>
        <w:trPr>
          <w:cantSplit/>
          <w:jc w:val="center"/>
          <w:trHeight w:val="1365"/>
        </w:trPr>
        <w:tc>
          <w:tcPr>
            <w:tcBorders>
              <w:top w:val="single" w:color="000000" w:sz="4" w:space="0"/>
              <w:left w:val="single" w:color="000000" w:sz="4" w:space="0"/>
              <w:bottom w:val="single" w:color="000000" w:sz="4" w:space="0"/>
              <w:right w:val="single" w:color="000000" w:sz="4" w:space="0"/>
            </w:tcBorders>
            <w:tcW w:w="3741" w:type="dxa"/>
            <w:vAlign w:val="center"/>
            <w:textDirection w:val="lrTb"/>
            <w:noWrap w:val="false"/>
          </w:tcPr>
          <w:p>
            <w:pPr>
              <w:spacing w:line="600" w:lineRule="exact"/>
              <w:widowControl/>
              <w:rPr>
                <w:rFonts w:ascii="宋体" w:hAnsi="宋体"/>
                <w:szCs w:val="21"/>
              </w:rPr>
            </w:pPr>
            <w:r/>
            <w:bookmarkStart w:id="18" w:name="XMMC"/>
            <w:r/>
            <w:bookmarkEnd w:id="18"/>
            <w:r>
              <w:rPr>
                <w:rFonts w:hint="eastAsia" w:ascii="宋体" w:hAnsi="宋体"/>
                <w:szCs w:val="21"/>
              </w:rPr>
              <w:t xml:space="preserve">相城区2026年度农药集中配送、农药包装废弃物及废旧农膜回收处置项目 </w:t>
            </w:r>
            <w:r/>
          </w:p>
        </w:tc>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val="false"/>
          </w:tcPr>
          <w:p>
            <w:pPr>
              <w:spacing w:line="600" w:lineRule="exact"/>
              <w:widowControl/>
              <w:rPr>
                <w:rFonts w:ascii="宋体" w:hAnsi="宋体"/>
                <w:szCs w:val="21"/>
              </w:rPr>
            </w:pPr>
            <w:r>
              <w:rPr>
                <w:rFonts w:ascii="宋体" w:hAnsi="宋体"/>
                <w:szCs w:val="21"/>
              </w:rPr>
              <w:t xml:space="preserve">小写：</w:t>
            </w:r>
            <w:bookmarkStart w:id="19" w:name="JEXX"/>
            <w:r/>
            <w:bookmarkEnd w:id="19"/>
            <w:r>
              <w:rPr>
                <w:rFonts w:hint="eastAsia" w:ascii="宋体" w:hAnsi="宋体"/>
                <w:szCs w:val="21"/>
              </w:rPr>
              <w:t xml:space="preserve">1850000.00</w:t>
            </w:r>
            <w:r>
              <w:rPr>
                <w:rFonts w:ascii="宋体" w:hAnsi="宋体"/>
                <w:szCs w:val="21"/>
              </w:rPr>
              <w:t xml:space="preserve">  （元人民币）</w:t>
            </w:r>
            <w:r/>
          </w:p>
        </w:tc>
      </w:tr>
      <w:tr>
        <w:trPr>
          <w:cantSplit/>
          <w:jc w:val="center"/>
          <w:trHeight w:val="1150"/>
        </w:trPr>
        <w:tc>
          <w:tcPr>
            <w:tcBorders>
              <w:top w:val="single" w:color="000000" w:sz="4" w:space="0"/>
              <w:left w:val="single" w:color="000000" w:sz="4" w:space="0"/>
              <w:bottom w:val="single" w:color="000000" w:sz="4" w:space="0"/>
              <w:right w:val="single" w:color="000000" w:sz="4" w:space="0"/>
            </w:tcBorders>
            <w:tcW w:w="3741" w:type="dxa"/>
            <w:vAlign w:val="center"/>
            <w:textDirection w:val="lrTb"/>
            <w:noWrap w:val="false"/>
          </w:tcPr>
          <w:p>
            <w:pPr>
              <w:jc w:val="center"/>
              <w:widowControl/>
              <w:rPr>
                <w:rFonts w:ascii="宋体" w:hAnsi="宋体"/>
                <w:szCs w:val="21"/>
              </w:rPr>
            </w:pPr>
            <w:r>
              <w:rPr>
                <w:rFonts w:ascii="宋体" w:hAnsi="宋体"/>
                <w:szCs w:val="21"/>
              </w:rPr>
              <w:t xml:space="preserve">投标报价大写金额</w:t>
            </w:r>
            <w:r/>
          </w:p>
        </w:tc>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val="false"/>
          </w:tcPr>
          <w:p>
            <w:pPr>
              <w:spacing w:line="600" w:lineRule="exact"/>
              <w:widowControl/>
              <w:rPr>
                <w:rFonts w:ascii="宋体" w:hAnsi="宋体"/>
                <w:szCs w:val="21"/>
              </w:rPr>
            </w:pPr>
            <w:r>
              <w:rPr>
                <w:rFonts w:hint="eastAsia" w:ascii="宋体" w:hAnsi="宋体"/>
                <w:szCs w:val="21"/>
              </w:rPr>
              <w:t xml:space="preserve">人民币壹佰捌拾伍万元整</w:t>
            </w:r>
            <w:r/>
          </w:p>
        </w:tc>
      </w:tr>
    </w:tbl>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pacing w:val="20"/>
          <w:szCs w:val="21"/>
        </w:rPr>
      </w:pPr>
      <w:r>
        <w:rPr>
          <w:rFonts w:hint="eastAsia" w:ascii="宋体" w:hAnsi="宋体" w:cs="宋体"/>
          <w:szCs w:val="21"/>
        </w:rPr>
        <w:t xml:space="preserve">磋商响应单位：（签章）</w:t>
      </w:r>
      <w:r/>
    </w:p>
    <w:p>
      <w:pPr>
        <w:spacing w:line="360" w:lineRule="auto"/>
        <w:rPr>
          <w:rFonts w:ascii="宋体" w:hAnsi="宋体" w:cs="宋体"/>
          <w:spacing w:val="20"/>
          <w:szCs w:val="21"/>
        </w:rPr>
      </w:pPr>
      <w:r>
        <w:rPr>
          <w:rFonts w:hint="eastAsia" w:ascii="宋体" w:hAnsi="宋体" w:cs="宋体"/>
          <w:spacing w:val="20"/>
          <w:szCs w:val="21"/>
        </w:rPr>
        <w:t xml:space="preserve">日期：</w:t>
      </w:r>
      <w:r/>
    </w:p>
    <w:p>
      <w:pPr>
        <w:pStyle w:val="817"/>
        <w:ind w:firstLine="500"/>
        <w:rPr>
          <w:rFonts w:ascii="宋体" w:hAnsi="宋体" w:cs="宋体"/>
          <w:spacing w:val="20"/>
          <w:szCs w:val="21"/>
        </w:rPr>
      </w:pPr>
      <w:r>
        <w:rPr>
          <w:rFonts w:ascii="宋体" w:hAnsi="宋体" w:cs="宋体"/>
          <w:spacing w:val="20"/>
          <w:szCs w:val="21"/>
        </w:rPr>
      </w:r>
      <w:r/>
    </w:p>
    <w:p>
      <w:pPr>
        <w:pStyle w:val="774"/>
        <w:pageBreakBefore/>
        <w:spacing w:before="0" w:after="0" w:line="360" w:lineRule="auto"/>
        <w:rPr>
          <w:rFonts w:ascii="宋体" w:hAnsi="宋体" w:cs="宋体"/>
          <w:sz w:val="21"/>
          <w:szCs w:val="21"/>
        </w:rPr>
      </w:pPr>
      <w:r>
        <w:rPr>
          <w:rFonts w:hint="eastAsia" w:ascii="宋体" w:hAnsi="宋体" w:cs="宋体"/>
          <w:sz w:val="21"/>
          <w:szCs w:val="21"/>
        </w:rPr>
        <w:t xml:space="preserve">附件2：磋商报价分析表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磋商报价分析表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7"/>
        <w:gridCol w:w="3544"/>
        <w:gridCol w:w="3363"/>
        <w:gridCol w:w="1546"/>
      </w:tblGrid>
      <w:tr>
        <w:trPr>
          <w:jc w:val="center"/>
          <w:trHeight w:val="699"/>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服务内容</w:t>
            </w:r>
            <w:r/>
          </w:p>
        </w:tc>
        <w:tc>
          <w:tcPr>
            <w:tcBorders>
              <w:top w:val="single" w:color="000000" w:sz="4" w:space="0"/>
              <w:left w:val="single" w:color="000000" w:sz="4" w:space="0"/>
              <w:bottom w:val="single" w:color="000000" w:sz="4" w:space="0"/>
              <w:right w:val="single" w:color="000000" w:sz="4" w:space="0"/>
            </w:tcBorders>
            <w:tcW w:w="3363"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单项报价</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备注</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农药集中配送财政补贴部分</w:t>
            </w:r>
            <w:r/>
          </w:p>
        </w:tc>
        <w:tc>
          <w:tcPr>
            <w:tcBorders>
              <w:top w:val="single" w:color="000000" w:sz="4" w:space="0"/>
              <w:left w:val="single" w:color="000000" w:sz="4" w:space="0"/>
              <w:bottom w:val="single" w:color="000000" w:sz="4" w:space="0"/>
              <w:right w:val="single" w:color="000000" w:sz="4" w:space="0"/>
            </w:tcBorders>
            <w:tcW w:w="33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采购农药中标价的30%</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农药包装瓶（瓶盖完整）</w:t>
            </w:r>
            <w:r/>
          </w:p>
        </w:tc>
        <w:tc>
          <w:tcPr>
            <w:tcBorders>
              <w:top w:val="single" w:color="000000" w:sz="4" w:space="0"/>
              <w:left w:val="single" w:color="000000" w:sz="4" w:space="0"/>
              <w:bottom w:val="single" w:color="000000" w:sz="4" w:space="0"/>
              <w:right w:val="single" w:color="000000" w:sz="4" w:space="0"/>
            </w:tcBorders>
            <w:tcW w:w="33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0.5元/只</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农药包装袋</w:t>
            </w:r>
            <w:r/>
          </w:p>
        </w:tc>
        <w:tc>
          <w:tcPr>
            <w:tcBorders>
              <w:top w:val="single" w:color="000000" w:sz="4" w:space="0"/>
              <w:left w:val="single" w:color="000000" w:sz="4" w:space="0"/>
              <w:bottom w:val="single" w:color="000000" w:sz="4" w:space="0"/>
              <w:right w:val="single" w:color="000000" w:sz="4" w:space="0"/>
            </w:tcBorders>
            <w:tcW w:w="33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0.3元/只</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农膜残膜</w:t>
            </w:r>
            <w:r/>
          </w:p>
        </w:tc>
        <w:tc>
          <w:tcPr>
            <w:tcBorders>
              <w:top w:val="single" w:color="000000" w:sz="4" w:space="0"/>
              <w:left w:val="single" w:color="000000" w:sz="4" w:space="0"/>
              <w:bottom w:val="single" w:color="000000" w:sz="4" w:space="0"/>
              <w:right w:val="single" w:color="000000" w:sz="4" w:space="0"/>
            </w:tcBorders>
            <w:tcW w:w="33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6元/千克</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bl>
    <w:p>
      <w:pPr>
        <w:pStyle w:val="786"/>
        <w:ind w:firstLine="0"/>
        <w:jc w:val="both"/>
        <w:spacing w:line="360" w:lineRule="auto"/>
        <w:rPr>
          <w:rFonts w:ascii="宋体" w:hAnsi="宋体" w:eastAsia="宋体" w:cs="宋体"/>
          <w:b/>
          <w:bCs/>
          <w:sz w:val="21"/>
        </w:rPr>
      </w:pPr>
      <w:r>
        <w:rPr>
          <w:rFonts w:hint="eastAsia" w:ascii="宋体" w:hAnsi="宋体" w:eastAsia="宋体" w:cs="宋体"/>
          <w:b/>
          <w:bCs/>
          <w:sz w:val="21"/>
        </w:rPr>
        <w:t xml:space="preserve">注： 本项目为固定单价，磋商响应单位按照磋商文件中规定的补贴标准执行，磋商单位填报价格必须等于采购文件格式中价格约定，否则视为非实质响应，按无效磋商处理。</w:t>
      </w:r>
      <w:r/>
    </w:p>
    <w:p>
      <w:pPr>
        <w:pStyle w:val="786"/>
        <w:ind w:firstLine="0"/>
        <w:jc w:val="both"/>
        <w:spacing w:line="360" w:lineRule="auto"/>
        <w:rPr>
          <w:rFonts w:ascii="宋体" w:hAnsi="宋体" w:eastAsia="宋体" w:cs="宋体"/>
          <w:sz w:val="21"/>
        </w:rPr>
      </w:pPr>
      <w:r>
        <w:rPr>
          <w:rFonts w:ascii="宋体" w:hAnsi="宋体" w:eastAsia="宋体" w:cs="宋体"/>
          <w:sz w:val="21"/>
        </w:rPr>
      </w:r>
      <w:r/>
    </w:p>
    <w:p>
      <w:pPr>
        <w:pStyle w:val="786"/>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86"/>
        <w:ind w:firstLine="0"/>
        <w:jc w:val="both"/>
        <w:spacing w:line="360" w:lineRule="auto"/>
        <w:rPr>
          <w:rFonts w:ascii="宋体" w:hAnsi="宋体" w:eastAsia="宋体" w:cs="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p>
    <w:p>
      <w:pPr>
        <w:spacing w:line="360" w:lineRule="auto"/>
        <w:rPr>
          <w:rFonts w:ascii="宋体" w:hAnsi="宋体" w:cs="宋体"/>
          <w:b/>
          <w:szCs w:val="21"/>
        </w:rPr>
        <w:outlineLvl w:val="1"/>
      </w:pPr>
      <w:r>
        <w:rPr>
          <w:rFonts w:hint="eastAsia" w:ascii="宋体" w:hAnsi="宋体" w:cs="宋体"/>
          <w:b/>
          <w:szCs w:val="21"/>
        </w:rPr>
        <w:t xml:space="preserve">附件3：磋商响应函</w:t>
      </w:r>
      <w:r/>
    </w:p>
    <w:p>
      <w:pPr>
        <w:jc w:val="center"/>
        <w:spacing w:line="360" w:lineRule="auto"/>
        <w:rPr>
          <w:rFonts w:ascii="宋体" w:hAnsi="宋体" w:cs="宋体"/>
          <w:b/>
          <w:spacing w:val="20"/>
          <w:szCs w:val="21"/>
        </w:rPr>
      </w:pPr>
      <w:r>
        <w:rPr>
          <w:rFonts w:hint="eastAsia" w:ascii="宋体" w:hAnsi="宋体" w:cs="宋体"/>
          <w:b/>
          <w:spacing w:val="20"/>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我们收到你们JSZC-320507-CJZB-C2025-0266号磋商采购文件，经仔细阅读和研究，我们决定参加本项目的磋商。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1、我们愿意按照磋商采购文件的一切要求，提供本次采购的</w:t>
      </w:r>
      <w:r>
        <w:rPr>
          <w:rFonts w:hint="eastAsia" w:ascii="宋体" w:hAnsi="宋体" w:cs="宋体"/>
        </w:rPr>
        <w:t xml:space="preserve">相城区2026年度农药“零差价”集中配送、农药包装废弃物及废旧农膜回收处置项目</w:t>
      </w:r>
      <w:r>
        <w:rPr>
          <w:rFonts w:hint="eastAsia" w:ascii="宋体" w:hAnsi="宋体" w:cs="宋体"/>
          <w:szCs w:val="21"/>
        </w:rPr>
        <w:t xml:space="preserve">全部服务。</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3、我们同意按磋商采购文件中的规定，本响应文件的有效期限为自开标之日起45日。</w:t>
      </w:r>
      <w:r/>
    </w:p>
    <w:p>
      <w:pPr>
        <w:ind w:firstLine="420"/>
        <w:spacing w:line="360" w:lineRule="auto"/>
        <w:rPr>
          <w:rFonts w:ascii="宋体" w:hAnsi="宋体" w:cs="宋体"/>
          <w:szCs w:val="21"/>
        </w:rPr>
      </w:pPr>
      <w:r>
        <w:rPr>
          <w:rFonts w:hint="eastAsia" w:ascii="宋体" w:hAnsi="宋体" w:cs="宋体"/>
          <w:szCs w:val="21"/>
        </w:rPr>
        <w:t xml:space="preserve">4、我们愿意提供采购人在磋商采购文件中要求的所有资料。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w:t>
      </w:r>
      <w:r/>
    </w:p>
    <w:p>
      <w:pPr>
        <w:ind w:firstLine="420"/>
        <w:spacing w:line="360" w:lineRule="auto"/>
        <w:rPr>
          <w:rFonts w:ascii="宋体" w:hAnsi="宋体" w:cs="宋体"/>
          <w:szCs w:val="21"/>
        </w:rPr>
      </w:pPr>
      <w:r>
        <w:rPr>
          <w:rFonts w:hint="eastAsia" w:ascii="宋体" w:hAnsi="宋体" w:cs="宋体"/>
          <w:szCs w:val="21"/>
        </w:rPr>
        <w:t xml:space="preserve">（2）要求采购单位提供的配合；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（4）其它说明；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              邮编：</w:t>
      </w:r>
      <w:r/>
    </w:p>
    <w:p>
      <w:pPr>
        <w:ind w:firstLine="420"/>
        <w:spacing w:line="360" w:lineRule="auto"/>
        <w:rPr>
          <w:rFonts w:ascii="宋体" w:hAnsi="宋体" w:cs="宋体"/>
          <w:szCs w:val="21"/>
        </w:rPr>
      </w:pPr>
      <w:r>
        <w:rPr>
          <w:rFonts w:hint="eastAsia" w:ascii="宋体" w:hAnsi="宋体" w:cs="宋体"/>
          <w:szCs w:val="21"/>
        </w:rPr>
        <w:t xml:space="preserve">联系人：            地址：</w:t>
      </w:r>
      <w:r/>
    </w:p>
    <w:p>
      <w:pPr>
        <w:ind w:firstLine="420"/>
        <w:spacing w:line="360" w:lineRule="auto"/>
        <w:rPr>
          <w:rFonts w:ascii="宋体" w:hAnsi="宋体" w:cs="宋体"/>
          <w:szCs w:val="21"/>
        </w:rPr>
      </w:pPr>
      <w:r>
        <w:rPr>
          <w:rFonts w:hint="eastAsia" w:ascii="宋体" w:hAnsi="宋体" w:cs="宋体"/>
          <w:szCs w:val="21"/>
        </w:rPr>
        <w:t xml:space="preserve">开户名称：          电话：</w:t>
      </w:r>
      <w:r/>
    </w:p>
    <w:p>
      <w:pPr>
        <w:ind w:firstLine="420"/>
        <w:spacing w:line="360" w:lineRule="auto"/>
        <w:rPr>
          <w:rFonts w:ascii="宋体" w:hAnsi="宋体" w:cs="宋体"/>
          <w:szCs w:val="21"/>
        </w:rPr>
      </w:pPr>
      <w:r>
        <w:rPr>
          <w:rFonts w:hint="eastAsia" w:ascii="宋体" w:hAnsi="宋体" w:cs="宋体"/>
          <w:szCs w:val="21"/>
        </w:rPr>
        <w:t xml:space="preserve">开户银行：          传真：</w:t>
      </w:r>
      <w:r/>
    </w:p>
    <w:p>
      <w:pPr>
        <w:ind w:firstLine="420"/>
        <w:spacing w:line="360" w:lineRule="auto"/>
        <w:rPr>
          <w:rFonts w:ascii="宋体" w:hAnsi="宋体" w:cs="宋体"/>
          <w:szCs w:val="21"/>
        </w:rPr>
      </w:pPr>
      <w:r>
        <w:rPr>
          <w:rFonts w:hint="eastAsia" w:ascii="宋体" w:hAnsi="宋体" w:cs="宋体"/>
          <w:szCs w:val="21"/>
        </w:rPr>
        <w:t xml:space="preserve">开户账号：           邮箱地址：</w:t>
      </w:r>
      <w:r/>
    </w:p>
    <w:p>
      <w:pPr>
        <w:pStyle w:val="786"/>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86"/>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ageBreakBefore/>
        <w:spacing w:line="360" w:lineRule="auto"/>
        <w:rPr>
          <w:rFonts w:ascii="宋体" w:hAnsi="宋体" w:cs="宋体"/>
          <w:b/>
          <w:szCs w:val="21"/>
        </w:rPr>
        <w:outlineLvl w:val="1"/>
      </w:pPr>
      <w:r>
        <w:rPr>
          <w:rFonts w:hint="eastAsia" w:ascii="宋体" w:hAnsi="宋体" w:cs="宋体"/>
          <w:b/>
          <w:szCs w:val="21"/>
        </w:rPr>
        <w:t xml:space="preserve">附件4：（磋商响应单位）法人授权委托书</w:t>
      </w:r>
      <w:r/>
    </w:p>
    <w:p>
      <w:pPr>
        <w:pStyle w:val="786"/>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86"/>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86"/>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的竞争性磋商采购项目。代理人在本次招标活动过程、合同签订及处理有关事宜所作出的全部意思表示（包括签署的全部文件），我司均予以承认并由我司承担相应法律后果。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单位名称：（加盖CA电子公章）</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ind w:right="630" w:firstLine="480"/>
        <w:jc w:val="left"/>
        <w:spacing w:line="360" w:lineRule="auto"/>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备注：供应商如有授权委托，必须提供法定代表人身份证扫描件、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授权委托书及代理人身份证扫描件，否则投标无效；</w:t>
      </w:r>
      <w:r/>
    </w:p>
    <w:p>
      <w:pPr>
        <w:pStyle w:val="1031"/>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供应商无授权委托的情况下，必须提供法定代表人身份证扫描件，否则投标无效。</w:t>
      </w:r>
      <w:r/>
    </w:p>
    <w:p>
      <w:pPr>
        <w:pStyle w:val="786"/>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 w:val="21"/>
        </w:rPr>
      </w:r>
      <w:r/>
    </w:p>
    <w:p>
      <w:pPr>
        <w:pStyle w:val="786"/>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附件5：关于资格文件的声明函</w:t>
      </w:r>
      <w:r/>
    </w:p>
    <w:p>
      <w:pPr>
        <w:pStyle w:val="786"/>
        <w:jc w:val="center"/>
        <w:spacing w:line="360" w:lineRule="auto"/>
        <w:rPr>
          <w:rFonts w:ascii="宋体" w:hAnsi="宋体" w:eastAsia="宋体" w:cs="宋体"/>
          <w:sz w:val="21"/>
        </w:rPr>
      </w:pPr>
      <w:r>
        <w:rPr>
          <w:rFonts w:ascii="宋体" w:hAnsi="宋体" w:eastAsia="宋体" w:cs="宋体"/>
          <w:sz w:val="21"/>
        </w:rPr>
      </w:r>
      <w:r/>
    </w:p>
    <w:p>
      <w:pPr>
        <w:pStyle w:val="786"/>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786"/>
        <w:ind w:firstLine="0"/>
        <w:spacing w:line="360" w:lineRule="auto"/>
        <w:rPr>
          <w:rFonts w:ascii="宋体" w:hAnsi="宋体" w:eastAsia="宋体" w:cs="宋体"/>
          <w:sz w:val="21"/>
          <w:u w:val="single"/>
        </w:rPr>
      </w:pPr>
      <w:r>
        <w:rPr>
          <w:rFonts w:ascii="宋体" w:hAnsi="宋体" w:eastAsia="宋体" w:cs="宋体"/>
          <w:sz w:val="21"/>
          <w:u w:val="single"/>
        </w:rPr>
      </w:r>
      <w:r/>
    </w:p>
    <w:p>
      <w:pPr>
        <w:pStyle w:val="786"/>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786"/>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u w:val="single"/>
        </w:rPr>
        <w:t xml:space="preserve">】</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86"/>
        <w:ind w:firstLine="0"/>
        <w:jc w:val="both"/>
        <w:spacing w:line="360" w:lineRule="auto"/>
        <w:rPr>
          <w:rFonts w:ascii="宋体" w:hAnsi="宋体" w:eastAsia="宋体" w:cs="宋体"/>
          <w:sz w:val="21"/>
        </w:rPr>
      </w:pPr>
      <w:r>
        <w:rPr>
          <w:rFonts w:ascii="宋体" w:hAnsi="宋体" w:eastAsia="宋体" w:cs="宋体"/>
          <w:sz w:val="21"/>
        </w:rPr>
      </w:r>
      <w:r/>
    </w:p>
    <w:p>
      <w:pPr>
        <w:pStyle w:val="786"/>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86"/>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p>
    <w:p>
      <w:pPr>
        <w:jc w:val="left"/>
        <w:spacing w:line="360" w:lineRule="auto"/>
        <w:widowControl/>
        <w:rPr>
          <w:rFonts w:ascii="宋体" w:hAnsi="宋体" w:cs="宋体"/>
          <w:b/>
          <w:szCs w:val="21"/>
        </w:rPr>
      </w:pPr>
      <w:r>
        <w:rPr>
          <w:rFonts w:hint="eastAsia" w:ascii="宋体" w:hAnsi="宋体" w:cs="宋体"/>
          <w:b/>
          <w:szCs w:val="21"/>
        </w:rPr>
        <w:t xml:space="preserve">附件6：服务偏离表</w:t>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74"/>
        <w:gridCol w:w="1901"/>
        <w:gridCol w:w="1711"/>
        <w:gridCol w:w="1521"/>
        <w:gridCol w:w="1795"/>
        <w:gridCol w:w="1855"/>
      </w:tblGrid>
      <w:tr>
        <w:trPr>
          <w:jc w:val="center"/>
          <w:trHeight w:val="680"/>
        </w:trPr>
        <w:tc>
          <w:tcPr>
            <w:tcW w:w="87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val="false"/>
          </w:tcPr>
          <w:p>
            <w:pPr>
              <w:jc w:val="center"/>
              <w:rPr>
                <w:rFonts w:ascii="宋体" w:hAnsi="宋体" w:cs="宋体"/>
                <w:szCs w:val="21"/>
              </w:rPr>
            </w:pPr>
            <w:r>
              <w:rPr>
                <w:rFonts w:hint="eastAsia" w:ascii="宋体" w:hAnsi="宋体" w:cs="宋体"/>
                <w:szCs w:val="21"/>
              </w:rPr>
              <w:t xml:space="preserve">偏离/响应</w:t>
            </w:r>
            <w:r/>
          </w:p>
        </w:tc>
        <w:tc>
          <w:tcPr>
            <w:tcW w:w="1855"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注：1、磋商响应单位应对照采购文件技术要求等要求，所投标的物（服务）与采购文件的规定有偏离的，应在此表中申明与技术要求条文的偏差和例外。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附件7：商务条款偏离表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47"/>
        <w:gridCol w:w="2028"/>
        <w:gridCol w:w="2535"/>
        <w:gridCol w:w="2535"/>
        <w:gridCol w:w="1812"/>
      </w:tblGrid>
      <w:tr>
        <w:trPr>
          <w:jc w:val="center"/>
          <w:trHeight w:val="680"/>
        </w:trPr>
        <w:tc>
          <w:tcP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pPr>
      <w:r>
        <w:rPr>
          <w:rFonts w:hint="eastAsia" w:ascii="宋体" w:hAnsi="宋体" w:cs="宋体"/>
          <w:szCs w:val="21"/>
        </w:rPr>
        <w:t xml:space="preserve">日期：        年    月    日</w:t>
      </w:r>
      <w:r/>
    </w:p>
    <w:p>
      <w:pPr>
        <w:pStyle w:val="817"/>
        <w:rPr>
          <w:rFonts w:ascii="宋体" w:hAnsi="宋体" w:cs="宋体"/>
          <w:szCs w:val="21"/>
        </w:rPr>
      </w:pPr>
      <w:r>
        <w:rPr>
          <w:rFonts w:ascii="宋体" w:hAnsi="宋体" w:cs="宋体"/>
          <w:szCs w:val="21"/>
        </w:rPr>
      </w:r>
      <w:r/>
    </w:p>
    <w:p>
      <w:pPr>
        <w:pageBreakBefore/>
        <w:spacing w:line="360" w:lineRule="auto"/>
        <w:rPr>
          <w:rFonts w:ascii="宋体" w:hAnsi="宋体" w:cs="宋体"/>
          <w:b/>
        </w:rPr>
        <w:outlineLvl w:val="1"/>
      </w:pPr>
      <w:r>
        <w:rPr>
          <w:rFonts w:hint="eastAsia" w:ascii="宋体" w:hAnsi="宋体" w:cs="宋体"/>
          <w:b/>
        </w:rPr>
        <w:t xml:space="preserve">附件8：投标（响应）保证承诺书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817"/>
        <w:rPr>
          <w:rFonts w:ascii="宋体" w:hAnsi="宋体" w:cs="宋体"/>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ascii="宋体" w:hAnsi="宋体" w:cs="宋体"/>
          <w:szCs w:val="21"/>
        </w:rPr>
      </w:r>
      <w:r/>
    </w:p>
    <w:p>
      <w:pPr>
        <w:pStyle w:val="786"/>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附件9：磋商响应单位基本情况表</w:t>
      </w:r>
      <w:r/>
    </w:p>
    <w:p>
      <w:pPr>
        <w:pStyle w:val="786"/>
        <w:jc w:val="center"/>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磋商响应单位基本情况表</w:t>
      </w:r>
      <w:r/>
    </w:p>
    <w:p>
      <w:pPr>
        <w:pStyle w:val="78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60"/>
        <w:gridCol w:w="1874"/>
        <w:gridCol w:w="1440"/>
        <w:gridCol w:w="2006"/>
        <w:gridCol w:w="1222"/>
      </w:tblGrid>
      <w:tr>
        <w:trPr>
          <w:cantSplit/>
          <w:jc w:val="center"/>
          <w:trHeight w:val="567"/>
        </w:trPr>
        <w:tc>
          <w:tcPr>
            <w:tcW w:w="2719"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5" w:type="dxa"/>
            <w:vAlign w:val="center"/>
            <w:textDirection w:val="lrTb"/>
            <w:noWrap w:val="false"/>
          </w:tcPr>
          <w:p>
            <w:pPr>
              <w:pStyle w:val="786"/>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31" w:type="dxa"/>
            <w:vAlign w:val="center"/>
            <w:textDirection w:val="lrTb"/>
            <w:noWrap w:val="false"/>
          </w:tcPr>
          <w:p>
            <w:pPr>
              <w:pStyle w:val="78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5" w:type="dxa"/>
            <w:vAlign w:val="center"/>
            <w:textDirection w:val="lrTb"/>
            <w:noWrap w:val="false"/>
          </w:tcPr>
          <w:p>
            <w:pPr>
              <w:pStyle w:val="786"/>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31" w:type="dxa"/>
            <w:vAlign w:val="center"/>
            <w:textDirection w:val="lrTb"/>
            <w:noWrap w:val="false"/>
          </w:tcPr>
          <w:p>
            <w:pPr>
              <w:pStyle w:val="786"/>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val="false"/>
          </w:tcPr>
          <w:p>
            <w:pPr>
              <w:pStyle w:val="78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5" w:type="dxa"/>
            <w:vAlign w:val="center"/>
            <w:textDirection w:val="lrTb"/>
            <w:noWrap w:val="false"/>
          </w:tcPr>
          <w:p>
            <w:pPr>
              <w:pStyle w:val="786"/>
              <w:ind w:firstLine="0"/>
              <w:rPr>
                <w:rFonts w:ascii="宋体" w:hAnsi="宋体" w:eastAsia="宋体" w:cs="宋体"/>
                <w:sz w:val="21"/>
                <w:szCs w:val="21"/>
              </w:rPr>
            </w:pPr>
            <w:r>
              <w:rPr>
                <w:rFonts w:ascii="宋体" w:hAnsi="宋体" w:eastAsia="宋体" w:cs="宋体"/>
                <w:sz w:val="21"/>
                <w:szCs w:val="21"/>
              </w:rPr>
            </w:r>
            <w:r/>
          </w:p>
        </w:tc>
        <w:tc>
          <w:tcPr>
            <w:gridSpan w:val="2"/>
            <w:tcW w:w="3664"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89" w:type="dxa"/>
            <w:vAlign w:val="center"/>
            <w:textDirection w:val="lrTb"/>
            <w:noWrap w:val="false"/>
          </w:tcPr>
          <w:p>
            <w:pPr>
              <w:pStyle w:val="78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86"/>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5" w:type="dxa"/>
            <w:vAlign w:val="center"/>
            <w:textDirection w:val="lrTb"/>
            <w:noWrap w:val="false"/>
          </w:tcPr>
          <w:p>
            <w:pPr>
              <w:pStyle w:val="786"/>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val="false"/>
          </w:tcPr>
          <w:p>
            <w:pPr>
              <w:pStyle w:val="786"/>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31" w:type="dxa"/>
            <w:vAlign w:val="center"/>
            <w:textDirection w:val="lrTb"/>
            <w:noWrap w:val="false"/>
          </w:tcPr>
          <w:p>
            <w:pPr>
              <w:pStyle w:val="786"/>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786"/>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5" w:type="dxa"/>
            <w:vAlign w:val="center"/>
            <w:textDirection w:val="lrTb"/>
            <w:noWrap w:val="false"/>
          </w:tcPr>
          <w:p>
            <w:pPr>
              <w:pStyle w:val="786"/>
              <w:ind w:firstLine="1050"/>
              <w:jc w:val="both"/>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val="false"/>
          </w:tcPr>
          <w:p>
            <w:pPr>
              <w:pStyle w:val="786"/>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31" w:type="dxa"/>
            <w:vAlign w:val="center"/>
            <w:textDirection w:val="lrTb"/>
            <w:noWrap w:val="false"/>
          </w:tcPr>
          <w:p>
            <w:pPr>
              <w:pStyle w:val="786"/>
              <w:ind w:firstLine="0"/>
              <w:jc w:val="center"/>
              <w:rPr>
                <w:rFonts w:ascii="宋体" w:hAnsi="宋体" w:eastAsia="宋体" w:cs="宋体"/>
                <w:sz w:val="21"/>
                <w:szCs w:val="21"/>
              </w:rPr>
            </w:pPr>
            <w:r>
              <w:rPr>
                <w:rFonts w:hint="eastAsia" w:ascii="宋体" w:hAnsi="宋体" w:eastAsia="宋体" w:cs="宋体"/>
                <w:sz w:val="21"/>
                <w:szCs w:val="21"/>
              </w:rPr>
              <w:t xml:space="preserve">2024年       万元</w:t>
            </w:r>
            <w:r/>
          </w:p>
        </w:tc>
      </w:tr>
      <w:tr>
        <w:trPr>
          <w:cantSplit/>
          <w:jc w:val="center"/>
          <w:trHeight w:val="567"/>
        </w:trPr>
        <w:tc>
          <w:tcPr>
            <w:tcW w:w="2719"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5"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2024年     万元</w:t>
            </w:r>
            <w:r/>
          </w:p>
        </w:tc>
        <w:tc>
          <w:tcPr>
            <w:tcW w:w="1522" w:type="dxa"/>
            <w:vAlign w:val="center"/>
            <w:textDirection w:val="lrTb"/>
            <w:noWrap w:val="false"/>
          </w:tcPr>
          <w:p>
            <w:pPr>
              <w:pStyle w:val="786"/>
              <w:ind w:firstLine="0"/>
              <w:rPr>
                <w:rFonts w:ascii="宋体" w:hAnsi="宋体" w:eastAsia="宋体" w:cs="宋体"/>
                <w:sz w:val="21"/>
                <w:szCs w:val="21"/>
              </w:rPr>
            </w:pPr>
            <w:r>
              <w:rPr>
                <w:rFonts w:ascii="宋体" w:hAnsi="宋体" w:eastAsia="宋体" w:cs="宋体"/>
                <w:sz w:val="21"/>
                <w:szCs w:val="21"/>
              </w:rPr>
            </w:r>
            <w:r/>
          </w:p>
        </w:tc>
        <w:tc>
          <w:tcPr>
            <w:gridSpan w:val="2"/>
            <w:tcW w:w="3431" w:type="dxa"/>
            <w:vAlign w:val="center"/>
            <w:textDirection w:val="lrTb"/>
            <w:noWrap w:val="false"/>
          </w:tcPr>
          <w:p>
            <w:pPr>
              <w:pStyle w:val="78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5" w:type="dxa"/>
            <w:vAlign w:val="center"/>
            <w:textDirection w:val="lrTb"/>
            <w:noWrap w:val="false"/>
          </w:tcPr>
          <w:p>
            <w:pPr>
              <w:pStyle w:val="786"/>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p>
        </w:tc>
        <w:tc>
          <w:tcPr>
            <w:tcW w:w="1522"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31"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786"/>
              <w:ind w:firstLine="0"/>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850"/>
        </w:trPr>
        <w:tc>
          <w:tcPr>
            <w:tcW w:w="2719" w:type="dxa"/>
            <w:vAlign w:val="center"/>
            <w:textDirection w:val="lrTb"/>
            <w:noWrap w:val="false"/>
          </w:tcPr>
          <w:p>
            <w:pPr>
              <w:pStyle w:val="786"/>
              <w:ind w:firstLine="0"/>
              <w:rPr>
                <w:rFonts w:ascii="宋体" w:hAnsi="宋体" w:eastAsia="宋体" w:cs="宋体"/>
                <w:sz w:val="21"/>
                <w:szCs w:val="21"/>
              </w:rPr>
            </w:pPr>
            <w:r>
              <w:rPr>
                <w:rFonts w:ascii="宋体" w:hAnsi="宋体" w:eastAsia="宋体" w:cs="宋体"/>
                <w:sz w:val="21"/>
                <w:szCs w:val="21"/>
              </w:rPr>
            </w:r>
            <w:r/>
          </w:p>
          <w:p>
            <w:pPr>
              <w:pStyle w:val="786"/>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86"/>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val="false"/>
          </w:tcPr>
          <w:p>
            <w:pPr>
              <w:pStyle w:val="78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786"/>
              <w:ind w:firstLine="0"/>
              <w:rPr>
                <w:rFonts w:ascii="宋体" w:hAnsi="宋体" w:eastAsia="宋体" w:cs="宋体"/>
                <w:sz w:val="21"/>
                <w:szCs w:val="21"/>
              </w:rPr>
            </w:pPr>
            <w:r>
              <w:rPr>
                <w:rFonts w:ascii="宋体" w:hAnsi="宋体" w:eastAsia="宋体" w:cs="宋体"/>
                <w:sz w:val="21"/>
                <w:szCs w:val="21"/>
              </w:rPr>
            </w:r>
            <w:r/>
          </w:p>
          <w:p>
            <w:pPr>
              <w:pStyle w:val="786"/>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786"/>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val="false"/>
          </w:tcPr>
          <w:p>
            <w:pPr>
              <w:pStyle w:val="78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val="false"/>
          </w:tcPr>
          <w:p>
            <w:pPr>
              <w:pStyle w:val="78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938"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938"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val="false"/>
          </w:tcPr>
          <w:p>
            <w:pPr>
              <w:pStyle w:val="78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38" w:type="dxa"/>
            <w:vAlign w:val="center"/>
            <w:textDirection w:val="lrTb"/>
            <w:noWrap w:val="false"/>
          </w:tcPr>
          <w:p>
            <w:pPr>
              <w:pStyle w:val="78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786"/>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val="false"/>
          </w:tcPr>
          <w:p>
            <w:pPr>
              <w:pStyle w:val="786"/>
              <w:ind w:firstLine="0"/>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附件10：针对本项目的人员配置表</w:t>
      </w:r>
      <w:r/>
    </w:p>
    <w:p>
      <w:pPr>
        <w:jc w:val="center"/>
        <w:spacing w:line="360" w:lineRule="auto"/>
        <w:rPr>
          <w:rFonts w:ascii="宋体" w:hAnsi="宋体" w:cs="宋体"/>
          <w:b/>
          <w:bCs/>
          <w:spacing w:val="20"/>
          <w:szCs w:val="21"/>
        </w:rPr>
      </w:pPr>
      <w:r>
        <w:rPr>
          <w:rFonts w:hint="eastAsia" w:ascii="宋体" w:hAnsi="宋体" w:cs="宋体"/>
          <w:b/>
          <w:bCs/>
          <w:spacing w:val="20"/>
          <w:szCs w:val="21"/>
        </w:rPr>
        <w:t xml:space="preserve">针对本项目的人员配置表</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cs="宋体" w:asciiTheme="minorEastAsia" w:hAnsiTheme="minorEastAsia" w:eastAsiaTheme="minorEastAsia"/>
          <w:szCs w:val="21"/>
        </w:rPr>
      </w:pPr>
      <w:r>
        <w:rPr>
          <w:rFonts w:hint="eastAsia" w:ascii="宋体" w:hAnsi="宋体" w:cs="宋体"/>
          <w:szCs w:val="21"/>
        </w:rPr>
        <w:t xml:space="preserve">采购编号：</w:t>
      </w:r>
      <w:r/>
    </w:p>
    <w:tbl>
      <w:tblPr>
        <w:tblW w:w="9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4"/>
        <w:gridCol w:w="2338"/>
        <w:gridCol w:w="1167"/>
        <w:gridCol w:w="992"/>
        <w:gridCol w:w="993"/>
        <w:gridCol w:w="1134"/>
        <w:gridCol w:w="1845"/>
      </w:tblGrid>
      <w:tr>
        <w:trPr>
          <w:jc w:val="center"/>
          <w:trHeight w:val="7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spacing w:line="400" w:lineRule="exact"/>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spacing w:line="400" w:lineRule="exact"/>
              <w:rPr>
                <w:rFonts w:ascii="宋体" w:hAnsi="宋体"/>
                <w:szCs w:val="21"/>
              </w:rPr>
            </w:pPr>
            <w:r>
              <w:rPr>
                <w:rFonts w:hint="eastAsia" w:ascii="宋体" w:hAnsi="宋体"/>
                <w:szCs w:val="21"/>
              </w:rPr>
              <w:t xml:space="preserve">岗位</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spacing w:line="400" w:lineRule="exact"/>
              <w:rPr>
                <w:rFonts w:ascii="宋体" w:hAnsi="宋体"/>
                <w:szCs w:val="21"/>
              </w:rPr>
            </w:pPr>
            <w:r>
              <w:rPr>
                <w:rFonts w:hint="eastAsia" w:ascii="宋体" w:hAnsi="宋体"/>
                <w:szCs w:val="21"/>
              </w:rPr>
              <w:t xml:space="preserve">姓名</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400" w:lineRule="exact"/>
              <w:rPr>
                <w:rFonts w:ascii="宋体" w:hAnsi="宋体"/>
                <w:szCs w:val="21"/>
              </w:rPr>
            </w:pPr>
            <w:r>
              <w:rPr>
                <w:rFonts w:hint="eastAsia" w:ascii="宋体" w:hAnsi="宋体"/>
                <w:szCs w:val="21"/>
              </w:rPr>
              <w:t xml:space="preserve">年龄</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spacing w:line="400" w:lineRule="exact"/>
              <w:rPr>
                <w:rFonts w:ascii="宋体" w:hAnsi="宋体"/>
                <w:szCs w:val="21"/>
              </w:rPr>
            </w:pPr>
            <w:r>
              <w:rPr>
                <w:rFonts w:hint="eastAsia" w:ascii="宋体" w:hAnsi="宋体"/>
                <w:szCs w:val="21"/>
              </w:rPr>
              <w:t xml:space="preserve">学历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ascii="宋体" w:hAnsi="宋体"/>
                <w:szCs w:val="21"/>
              </w:rPr>
            </w:pPr>
            <w:r>
              <w:rPr>
                <w:rFonts w:hint="eastAsia" w:ascii="宋体" w:hAnsi="宋体"/>
                <w:szCs w:val="21"/>
              </w:rPr>
              <w:t xml:space="preserve">职称</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spacing w:line="400" w:lineRule="exact"/>
              <w:rPr>
                <w:rFonts w:ascii="宋体" w:hAnsi="宋体"/>
                <w:szCs w:val="21"/>
              </w:rPr>
            </w:pPr>
            <w:r>
              <w:rPr>
                <w:rFonts w:hint="eastAsia" w:ascii="宋体" w:hAnsi="宋体"/>
                <w:szCs w:val="21"/>
              </w:rPr>
              <w:t xml:space="preserve">相关执业证书</w:t>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ascii="宋体" w:hAnsi="宋体"/>
                <w:szCs w:val="21"/>
              </w:rPr>
            </w:pPr>
            <w:r>
              <w:rPr>
                <w:rFonts w:ascii="宋体" w:hAnsi="宋体"/>
                <w:szCs w:val="21"/>
              </w:rPr>
            </w:r>
            <w:r/>
          </w:p>
        </w:tc>
      </w:tr>
    </w:tbl>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spacing w:line="360" w:lineRule="auto"/>
        <w:rPr>
          <w:rFonts w:ascii="宋体" w:hAnsi="宋体" w:cs="宋体"/>
          <w:szCs w:val="21"/>
        </w:rPr>
      </w:pPr>
      <w:r>
        <w:rPr>
          <w:rFonts w:hint="eastAsia" w:ascii="宋体" w:hAnsi="宋体" w:cs="宋体"/>
          <w:szCs w:val="21"/>
        </w:rPr>
        <w:t xml:space="preserve">磋商响应单位（签章）：  </w:t>
      </w:r>
      <w:r/>
    </w:p>
    <w:p>
      <w:pPr>
        <w:spacing w:line="360" w:lineRule="auto"/>
        <w:rPr>
          <w:rFonts w:ascii="宋体" w:hAnsi="宋体" w:cs="宋体"/>
          <w:spacing w:val="20"/>
          <w:szCs w:val="21"/>
        </w:rPr>
      </w:pPr>
      <w:r>
        <w:rPr>
          <w:rFonts w:hint="eastAsia" w:ascii="宋体" w:hAnsi="宋体" w:cs="宋体"/>
          <w:spacing w:val="20"/>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pageBreakBefore/>
        <w:spacing w:line="360" w:lineRule="auto"/>
        <w:rPr>
          <w:rFonts w:ascii="宋体" w:hAnsi="宋体" w:cs="宋体"/>
          <w:b/>
        </w:rPr>
      </w:pPr>
      <w:r>
        <w:rPr>
          <w:rFonts w:hint="eastAsia" w:ascii="宋体" w:hAnsi="宋体" w:cs="宋体"/>
          <w:b/>
        </w:rPr>
        <w:t xml:space="preserve">附件11：类似项目</w:t>
      </w:r>
      <w:r>
        <w:rPr>
          <w:rFonts w:hint="eastAsia" w:ascii="宋体" w:hAnsi="宋体" w:cs="宋体"/>
          <w:b/>
          <w:lang w:val="zh-CN"/>
        </w:rPr>
        <w:t xml:space="preserve">业绩一览表</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894"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39"/>
        <w:gridCol w:w="1679"/>
        <w:gridCol w:w="1392"/>
        <w:gridCol w:w="1486"/>
        <w:gridCol w:w="1758"/>
        <w:gridCol w:w="1580"/>
      </w:tblGrid>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6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1024"/>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1024"/>
        <w:spacing w:line="360" w:lineRule="auto"/>
        <w:rPr>
          <w:rFonts w:hAnsi="宋体" w:eastAsia="宋体" w:cs="宋体"/>
          <w:sz w:val="21"/>
          <w:szCs w:val="21"/>
        </w:rPr>
      </w:pPr>
      <w:r>
        <w:rPr>
          <w:rFonts w:hint="eastAsia" w:hAnsi="宋体" w:eastAsia="宋体" w:cs="宋体"/>
          <w:sz w:val="21"/>
          <w:szCs w:val="21"/>
        </w:rPr>
        <w:t xml:space="preserve">日期：</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附件12：中小企业声明函（参考格式）</w:t>
      </w:r>
      <w:r/>
    </w:p>
    <w:p>
      <w:pPr>
        <w:jc w:val="center"/>
        <w:spacing w:line="400" w:lineRule="exact"/>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中小企业声明函（服务）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 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808"/>
        <w:ind w:firstLine="0"/>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808"/>
        <w:ind w:firstLine="630"/>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808"/>
        <w:ind w:firstLine="63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808"/>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997"/>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w:t>
      </w:r>
      <w:r>
        <w:rPr>
          <w:rFonts w:hint="eastAsia" w:ascii="宋体" w:hAnsi="宋体"/>
          <w:b/>
        </w:rPr>
        <w:t xml:space="preserve">（仅供参看，具体按照国家相关最新标准规定）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w:t>
      </w:r>
      <w:bookmarkStart w:id="20" w:name="_GoBack"/>
      <w:r/>
      <w:bookmarkEnd w:id="20"/>
      <w:r>
        <w:rPr>
          <w:rFonts w:hint="eastAsia" w:ascii="宋体" w:hAnsi="宋体" w:cs="宋体"/>
        </w:rPr>
        <w:t xml:space="preserve">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w:t>
      </w:r>
      <w:r>
        <w:rPr>
          <w:rFonts w:hint="eastAsia" w:ascii="宋体" w:hAnsi="宋体" w:cs="宋体"/>
        </w:rPr>
        <w:t xml:space="preserve">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97"/>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附件13：</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  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备注：1、符合《关于促</w:t>
      </w:r>
      <w:r>
        <w:rPr>
          <w:rFonts w:hint="eastAsia" w:ascii="宋体" w:hAnsi="宋体" w:cs="宋体"/>
          <w:szCs w:val="21"/>
        </w:rPr>
        <w:t xml:space="preserve">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采购单位）或者其委托的采购代理机构应当随中标、成交结果同时公告其《残疾人福利性单位声明函》，接受社会监督。</w:t>
      </w:r>
      <w:r/>
    </w:p>
    <w:p>
      <w:pPr>
        <w:pStyle w:val="796"/>
        <w:spacing w:line="360" w:lineRule="auto"/>
        <w:rPr>
          <w:rFonts w:hAnsi="宋体" w:eastAsia="宋体" w:cs="宋体"/>
          <w:b/>
          <w:sz w:val="21"/>
          <w:szCs w:val="21"/>
        </w:r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附件14：</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86"/>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796"/>
        <w:spacing w:line="360" w:lineRule="auto"/>
        <w:rPr>
          <w:rFonts w:hint="eastAsia" w:hAnsi="宋体" w:eastAsia="宋体" w:cs="宋体"/>
          <w:b/>
          <w:sz w:val="21"/>
          <w:szCs w:val="21"/>
        </w:rPr>
      </w:pPr>
      <w:r>
        <w:rPr>
          <w:rFonts w:hint="eastAsia" w:hAnsi="宋体" w:eastAsia="宋体" w:cs="宋体"/>
          <w:b/>
          <w:sz w:val="21"/>
          <w:szCs w:val="21"/>
        </w:rPr>
      </w:r>
      <w:r/>
    </w:p>
    <w:p>
      <w:pPr>
        <w:pStyle w:val="796"/>
        <w:spacing w:line="360" w:lineRule="auto"/>
        <w:rPr>
          <w:rFonts w:hint="eastAsia" w:hAnsi="宋体" w:eastAsia="宋体" w:cs="宋体"/>
          <w:b/>
          <w:sz w:val="21"/>
          <w:szCs w:val="21"/>
        </w:rPr>
      </w:pPr>
      <w:r>
        <w:rPr>
          <w:rFonts w:hint="eastAsia" w:hAnsi="宋体" w:eastAsia="宋体" w:cs="宋体"/>
          <w:b/>
          <w:sz w:val="21"/>
          <w:szCs w:val="21"/>
        </w:rPr>
      </w:r>
      <w:r/>
    </w:p>
    <w:p>
      <w:pPr>
        <w:pStyle w:val="796"/>
        <w:spacing w:line="360" w:lineRule="auto"/>
        <w:rPr>
          <w:rFonts w:hint="eastAsia" w:hAnsi="宋体" w:eastAsia="宋体" w:cs="宋体"/>
          <w:b/>
          <w:sz w:val="21"/>
          <w:szCs w:val="21"/>
        </w:rPr>
      </w:pPr>
      <w:r>
        <w:rPr>
          <w:rFonts w:hint="eastAsia" w:hAnsi="宋体" w:eastAsia="宋体" w:cs="宋体"/>
          <w:b/>
          <w:sz w:val="21"/>
          <w:szCs w:val="21"/>
        </w:rPr>
      </w:r>
      <w:r/>
    </w:p>
    <w:p>
      <w:pPr>
        <w:pStyle w:val="796"/>
        <w:spacing w:line="360" w:lineRule="auto"/>
        <w:rPr>
          <w:rFonts w:hAnsi="宋体" w:eastAsia="宋体" w:cs="宋体"/>
          <w:b/>
          <w:sz w:val="21"/>
          <w:szCs w:val="21"/>
        </w:rPr>
      </w:pPr>
      <w:r>
        <w:rPr>
          <w:rFonts w:hint="eastAsia" w:hAnsi="宋体" w:eastAsia="宋体" w:cs="宋体"/>
          <w:b/>
          <w:sz w:val="21"/>
          <w:szCs w:val="21"/>
        </w:rPr>
        <w:t xml:space="preserve">（全文完）</w:t>
      </w:r>
      <w:r/>
    </w:p>
    <w:p>
      <w:pPr>
        <w:pStyle w:val="796"/>
        <w:spacing w:line="360" w:lineRule="auto"/>
        <w:rPr>
          <w:rFonts w:hAnsi="宋体" w:eastAsia="宋体" w:cs="宋体"/>
          <w:b/>
          <w:sz w:val="21"/>
          <w:szCs w:val="21"/>
        </w:rPr>
      </w:pPr>
      <w:r>
        <w:rPr>
          <w:rFonts w:hAnsi="宋体" w:eastAsia="宋体" w:cs="宋体"/>
          <w:b/>
          <w:sz w:val="21"/>
          <w:szCs w:val="21"/>
        </w:rPr>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Tahoma">
    <w:panose1 w:val="020B0604030504040204"/>
  </w:font>
  <w:font w:name="方正仿宋简体">
    <w:panose1 w:val="020B0503020202020204"/>
  </w:font>
  <w:font w:name="仿宋">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Cambria">
    <w:panose1 w:val="0204050305040603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2"/>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43</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2"/>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43</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21"/>
      </w:rPr>
      <w:framePr w:wrap="around" w:vAnchor="text" w:hAnchor="margin" w:xAlign="center" w:y="1"/>
    </w:pPr>
    <w:r>
      <w:fldChar w:fldCharType="begin"/>
    </w:r>
    <w:r>
      <w:rPr>
        <w:rStyle w:val="821"/>
      </w:rPr>
      <w:instrText xml:space="preserve">PAGE  </w:instrText>
    </w:r>
    <w:r>
      <w:fldChar w:fldCharType="end"/>
    </w:r>
    <w:r/>
  </w:p>
  <w:p>
    <w:pPr>
      <w:pStyle w:val="8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采购编号：JSZC-320507-CJZB-C2025-0266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99"/>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3">
    <w:multiLevelType w:val="hybridMultilevel"/>
    <w:lvl w:ilvl="0">
      <w:start w:val="2"/>
      <w:numFmt w:val="japaneseCounting"/>
      <w:pStyle w:val="815"/>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6 Char"/>
    <w:basedOn w:val="783"/>
    <w:link w:val="779"/>
    <w:uiPriority w:val="9"/>
    <w:rPr>
      <w:rFonts w:ascii="Arial" w:hAnsi="Arial" w:eastAsia="Arial" w:cs="Arial"/>
      <w:b/>
      <w:bCs/>
      <w:sz w:val="22"/>
      <w:szCs w:val="22"/>
    </w:rPr>
  </w:style>
  <w:style w:type="character" w:styleId="747">
    <w:name w:val="Heading 7 Char"/>
    <w:basedOn w:val="783"/>
    <w:link w:val="780"/>
    <w:uiPriority w:val="9"/>
    <w:rPr>
      <w:rFonts w:ascii="Arial" w:hAnsi="Arial" w:eastAsia="Arial" w:cs="Arial"/>
      <w:b/>
      <w:bCs/>
      <w:i/>
      <w:iCs/>
      <w:sz w:val="22"/>
      <w:szCs w:val="22"/>
    </w:rPr>
  </w:style>
  <w:style w:type="character" w:styleId="748">
    <w:name w:val="Heading 8 Char"/>
    <w:basedOn w:val="783"/>
    <w:link w:val="781"/>
    <w:uiPriority w:val="9"/>
    <w:rPr>
      <w:rFonts w:ascii="Arial" w:hAnsi="Arial" w:eastAsia="Arial" w:cs="Arial"/>
      <w:i/>
      <w:iCs/>
      <w:sz w:val="22"/>
      <w:szCs w:val="22"/>
    </w:rPr>
  </w:style>
  <w:style w:type="character" w:styleId="749">
    <w:name w:val="Heading 9 Char"/>
    <w:basedOn w:val="783"/>
    <w:link w:val="782"/>
    <w:uiPriority w:val="9"/>
    <w:rPr>
      <w:rFonts w:ascii="Arial" w:hAnsi="Arial" w:eastAsia="Arial" w:cs="Arial"/>
      <w:i/>
      <w:iCs/>
      <w:sz w:val="21"/>
      <w:szCs w:val="21"/>
    </w:rPr>
  </w:style>
  <w:style w:type="character" w:styleId="750">
    <w:name w:val="Quote Char"/>
    <w:link w:val="838"/>
    <w:uiPriority w:val="29"/>
    <w:rPr>
      <w:i/>
    </w:rPr>
  </w:style>
  <w:style w:type="character" w:styleId="751">
    <w:name w:val="Intense Quote Char"/>
    <w:link w:val="840"/>
    <w:uiPriority w:val="30"/>
    <w:rPr>
      <w:i/>
    </w:rPr>
  </w:style>
  <w:style w:type="table" w:styleId="752">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1">
    <w:name w:val="Endnote Text Char"/>
    <w:link w:val="800"/>
    <w:uiPriority w:val="99"/>
    <w:rPr>
      <w:sz w:val="20"/>
    </w:rPr>
  </w:style>
  <w:style w:type="paragraph" w:styleId="772">
    <w:name w:val="TOC Heading"/>
    <w:uiPriority w:val="39"/>
    <w:unhideWhenUsed/>
  </w:style>
  <w:style w:type="paragraph" w:styleId="773" w:default="1">
    <w:name w:val="Normal"/>
    <w:next w:val="786"/>
    <w:qFormat/>
    <w:pPr>
      <w:jc w:val="both"/>
      <w:widowControl w:val="off"/>
    </w:pPr>
    <w:rPr>
      <w:sz w:val="21"/>
      <w:szCs w:val="24"/>
    </w:rPr>
  </w:style>
  <w:style w:type="paragraph" w:styleId="774">
    <w:name w:val="Heading 1"/>
    <w:basedOn w:val="773"/>
    <w:next w:val="773"/>
    <w:link w:val="975"/>
    <w:qFormat/>
    <w:pPr>
      <w:keepLines/>
      <w:keepNext/>
      <w:spacing w:before="340" w:after="330" w:line="578" w:lineRule="auto"/>
      <w:outlineLvl w:val="0"/>
    </w:pPr>
    <w:rPr>
      <w:b/>
      <w:bCs/>
      <w:sz w:val="44"/>
      <w:szCs w:val="44"/>
    </w:rPr>
  </w:style>
  <w:style w:type="paragraph" w:styleId="775">
    <w:name w:val="Heading 2"/>
    <w:basedOn w:val="773"/>
    <w:next w:val="773"/>
    <w:link w:val="976"/>
    <w:qFormat/>
    <w:pPr>
      <w:keepLines/>
      <w:keepNext/>
      <w:spacing w:before="260" w:after="260" w:line="416" w:lineRule="auto"/>
      <w:outlineLvl w:val="1"/>
    </w:pPr>
    <w:rPr>
      <w:rFonts w:ascii="Cambria" w:hAnsi="Cambria"/>
      <w:b/>
      <w:bCs/>
      <w:sz w:val="32"/>
      <w:szCs w:val="32"/>
    </w:rPr>
  </w:style>
  <w:style w:type="paragraph" w:styleId="776">
    <w:name w:val="Heading 3"/>
    <w:basedOn w:val="773"/>
    <w:next w:val="786"/>
    <w:link w:val="977"/>
    <w:qFormat/>
    <w:pPr>
      <w:keepLines/>
      <w:keepNext/>
      <w:spacing w:before="260" w:after="260" w:line="416" w:lineRule="auto"/>
      <w:outlineLvl w:val="2"/>
    </w:pPr>
    <w:rPr>
      <w:b/>
      <w:bCs/>
      <w:sz w:val="32"/>
      <w:szCs w:val="32"/>
    </w:rPr>
  </w:style>
  <w:style w:type="paragraph" w:styleId="777">
    <w:name w:val="Heading 4"/>
    <w:basedOn w:val="773"/>
    <w:next w:val="773"/>
    <w:link w:val="986"/>
    <w:qFormat/>
    <w:pPr>
      <w:keepNext/>
      <w:spacing w:before="240" w:after="60"/>
      <w:outlineLvl w:val="3"/>
    </w:pPr>
    <w:rPr>
      <w:b/>
      <w:bCs/>
      <w:sz w:val="28"/>
      <w:szCs w:val="28"/>
    </w:rPr>
  </w:style>
  <w:style w:type="paragraph" w:styleId="778">
    <w:name w:val="Heading 5"/>
    <w:basedOn w:val="773"/>
    <w:next w:val="773"/>
    <w:link w:val="981"/>
    <w:qFormat/>
    <w:pPr>
      <w:spacing w:before="240" w:after="60"/>
      <w:outlineLvl w:val="4"/>
    </w:pPr>
    <w:rPr>
      <w:b/>
      <w:bCs/>
      <w:i/>
      <w:iCs/>
      <w:sz w:val="26"/>
      <w:szCs w:val="26"/>
    </w:rPr>
  </w:style>
  <w:style w:type="paragraph" w:styleId="779">
    <w:name w:val="Heading 6"/>
    <w:basedOn w:val="773"/>
    <w:next w:val="773"/>
    <w:link w:val="832"/>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34"/>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35"/>
    <w:uiPriority w:val="9"/>
    <w:unhideWhenUsed/>
    <w:qFormat/>
    <w:pPr>
      <w:keepLines/>
      <w:keepNext/>
      <w:spacing w:before="320" w:after="200"/>
      <w:outlineLvl w:val="8"/>
    </w:pPr>
    <w:rPr>
      <w:rFonts w:ascii="Arial" w:hAnsi="Arial" w:eastAsia="Arial" w:cs="Arial"/>
      <w:i/>
      <w:iCs/>
      <w:szCs w:val="21"/>
    </w:rPr>
  </w:style>
  <w:style w:type="character" w:styleId="783" w:default="1">
    <w:name w:val="Default Paragraph Font"/>
    <w:uiPriority w:val="1"/>
    <w:semiHidden/>
    <w:unhideWhenUsed/>
  </w:style>
  <w:style w:type="table" w:styleId="784" w:default="1">
    <w:name w:val="Normal Table"/>
    <w:uiPriority w:val="99"/>
    <w:semiHidden/>
    <w:unhideWhenUsed/>
    <w:qFormat/>
    <w:tblPr>
      <w:tblInd w:w="0" w:type="dxa"/>
      <w:tblCellMar>
        <w:left w:w="108" w:type="dxa"/>
        <w:top w:w="0" w:type="dxa"/>
        <w:right w:w="108" w:type="dxa"/>
        <w:bottom w:w="0" w:type="dxa"/>
      </w:tblCellMar>
    </w:tblPr>
  </w:style>
  <w:style w:type="numbering" w:styleId="785" w:default="1">
    <w:name w:val="No List"/>
    <w:uiPriority w:val="99"/>
    <w:semiHidden/>
    <w:unhideWhenUsed/>
  </w:style>
  <w:style w:type="paragraph" w:styleId="786">
    <w:name w:val="Normal Indent"/>
    <w:basedOn w:val="773"/>
    <w:link w:val="980"/>
    <w:qFormat/>
    <w:pPr>
      <w:ind w:firstLine="420"/>
      <w:jc w:val="left"/>
      <w:widowControl/>
    </w:pPr>
    <w:rPr>
      <w:rFonts w:eastAsia="楷体_GB2312"/>
      <w:sz w:val="24"/>
      <w:szCs w:val="20"/>
    </w:rPr>
  </w:style>
  <w:style w:type="paragraph" w:styleId="787">
    <w:name w:val="toc 7"/>
    <w:basedOn w:val="773"/>
    <w:next w:val="773"/>
    <w:uiPriority w:val="39"/>
    <w:unhideWhenUsed/>
    <w:qFormat/>
    <w:pPr>
      <w:ind w:left="1701"/>
      <w:spacing w:after="57"/>
    </w:pPr>
  </w:style>
  <w:style w:type="paragraph" w:styleId="788">
    <w:name w:val="Caption"/>
    <w:basedOn w:val="773"/>
    <w:next w:val="773"/>
    <w:uiPriority w:val="35"/>
    <w:semiHidden/>
    <w:unhideWhenUsed/>
    <w:qFormat/>
    <w:pPr>
      <w:spacing w:line="276" w:lineRule="auto"/>
    </w:pPr>
    <w:rPr>
      <w:b/>
      <w:bCs/>
      <w:color w:val="4f81bd" w:themeColor="accent1"/>
      <w:sz w:val="18"/>
      <w:szCs w:val="18"/>
    </w:rPr>
  </w:style>
  <w:style w:type="paragraph" w:styleId="789">
    <w:name w:val="Document Map"/>
    <w:basedOn w:val="773"/>
    <w:semiHidden/>
    <w:qFormat/>
    <w:pPr>
      <w:shd w:val="clear" w:color="auto" w:fill="000080"/>
    </w:pPr>
  </w:style>
  <w:style w:type="paragraph" w:styleId="790">
    <w:name w:val="annotation text"/>
    <w:basedOn w:val="773"/>
    <w:link w:val="994"/>
    <w:uiPriority w:val="99"/>
    <w:qFormat/>
    <w:pPr>
      <w:jc w:val="left"/>
    </w:pPr>
  </w:style>
  <w:style w:type="paragraph" w:styleId="791">
    <w:name w:val="Body Text"/>
    <w:basedOn w:val="773"/>
    <w:qFormat/>
    <w:pPr>
      <w:spacing w:after="120"/>
    </w:pPr>
  </w:style>
  <w:style w:type="paragraph" w:styleId="792">
    <w:name w:val="Body Text Indent"/>
    <w:basedOn w:val="773"/>
    <w:link w:val="1023"/>
    <w:qFormat/>
    <w:pPr>
      <w:ind w:left="420"/>
      <w:spacing w:after="120"/>
    </w:pPr>
  </w:style>
  <w:style w:type="paragraph" w:styleId="793">
    <w:name w:val="Block Text"/>
    <w:basedOn w:val="774"/>
    <w:next w:val="773"/>
    <w:qFormat/>
    <w:pPr>
      <w:ind w:left="630" w:right="-609" w:firstLine="420"/>
      <w:spacing w:line="360" w:lineRule="auto"/>
    </w:pPr>
    <w:rPr>
      <w:rFonts w:hint="eastAsia" w:ascii="仿宋_GB2312" w:eastAsia="仿宋_GB2312"/>
      <w:szCs w:val="20"/>
    </w:rPr>
  </w:style>
  <w:style w:type="paragraph" w:styleId="794">
    <w:name w:val="toc 5"/>
    <w:basedOn w:val="773"/>
    <w:next w:val="773"/>
    <w:uiPriority w:val="39"/>
    <w:unhideWhenUsed/>
    <w:qFormat/>
    <w:pPr>
      <w:ind w:left="1134"/>
      <w:spacing w:after="57"/>
    </w:pPr>
  </w:style>
  <w:style w:type="paragraph" w:styleId="795">
    <w:name w:val="toc 3"/>
    <w:basedOn w:val="773"/>
    <w:next w:val="773"/>
    <w:uiPriority w:val="39"/>
    <w:unhideWhenUsed/>
    <w:qFormat/>
    <w:pPr>
      <w:ind w:left="567"/>
      <w:spacing w:after="57"/>
    </w:pPr>
  </w:style>
  <w:style w:type="paragraph" w:styleId="796">
    <w:name w:val="Plain Text"/>
    <w:basedOn w:val="773"/>
    <w:link w:val="979"/>
    <w:qFormat/>
    <w:pPr>
      <w:jc w:val="left"/>
      <w:widowControl/>
    </w:pPr>
    <w:rPr>
      <w:rFonts w:ascii="宋体" w:hAnsi="Courier New" w:eastAsia="楷体_GB2312"/>
      <w:sz w:val="26"/>
    </w:rPr>
  </w:style>
  <w:style w:type="paragraph" w:styleId="797">
    <w:name w:val="toc 8"/>
    <w:basedOn w:val="773"/>
    <w:next w:val="773"/>
    <w:uiPriority w:val="39"/>
    <w:unhideWhenUsed/>
    <w:qFormat/>
    <w:pPr>
      <w:ind w:left="1984"/>
      <w:spacing w:after="57"/>
    </w:pPr>
  </w:style>
  <w:style w:type="paragraph" w:styleId="798">
    <w:name w:val="Date"/>
    <w:basedOn w:val="773"/>
    <w:next w:val="773"/>
    <w:link w:val="995"/>
    <w:qFormat/>
    <w:pPr>
      <w:ind w:left="100"/>
    </w:pPr>
    <w:rPr>
      <w:sz w:val="36"/>
      <w:szCs w:val="20"/>
    </w:rPr>
  </w:style>
  <w:style w:type="paragraph" w:styleId="799">
    <w:name w:val="Body Text Indent 2"/>
    <w:basedOn w:val="773"/>
    <w:qFormat/>
    <w:pPr>
      <w:ind w:left="420"/>
      <w:spacing w:after="120" w:line="480" w:lineRule="auto"/>
    </w:pPr>
  </w:style>
  <w:style w:type="paragraph" w:styleId="800">
    <w:name w:val="endnote text"/>
    <w:basedOn w:val="773"/>
    <w:link w:val="971"/>
    <w:uiPriority w:val="99"/>
    <w:semiHidden/>
    <w:unhideWhenUsed/>
    <w:qFormat/>
    <w:rPr>
      <w:sz w:val="20"/>
    </w:rPr>
  </w:style>
  <w:style w:type="paragraph" w:styleId="801">
    <w:name w:val="Balloon Text"/>
    <w:basedOn w:val="773"/>
    <w:semiHidden/>
    <w:qFormat/>
    <w:rPr>
      <w:sz w:val="18"/>
      <w:szCs w:val="18"/>
    </w:rPr>
  </w:style>
  <w:style w:type="paragraph" w:styleId="802">
    <w:name w:val="Footer"/>
    <w:basedOn w:val="773"/>
    <w:link w:val="984"/>
    <w:qFormat/>
    <w:pPr>
      <w:jc w:val="left"/>
      <w:tabs>
        <w:tab w:val="center" w:pos="4153" w:leader="none"/>
        <w:tab w:val="right" w:pos="8306" w:leader="none"/>
      </w:tabs>
    </w:pPr>
    <w:rPr>
      <w:sz w:val="18"/>
      <w:szCs w:val="18"/>
    </w:rPr>
  </w:style>
  <w:style w:type="paragraph" w:styleId="803">
    <w:name w:val="envelope return"/>
    <w:basedOn w:val="773"/>
    <w:qFormat/>
    <w:rPr>
      <w:rFonts w:ascii="Arial" w:hAnsi="Arial" w:eastAsia="楷体_GB2312"/>
      <w:sz w:val="26"/>
      <w:szCs w:val="20"/>
    </w:rPr>
  </w:style>
  <w:style w:type="paragraph" w:styleId="804">
    <w:name w:val="Header"/>
    <w:basedOn w:val="773"/>
    <w:link w:val="990"/>
    <w:uiPriority w:val="99"/>
    <w:qFormat/>
    <w:pPr>
      <w:jc w:val="center"/>
      <w:tabs>
        <w:tab w:val="center" w:pos="4153" w:leader="none"/>
        <w:tab w:val="right" w:pos="8306" w:leader="none"/>
      </w:tabs>
      <w:pBdr>
        <w:bottom w:val="single" w:color="auto" w:sz="6" w:space="1"/>
      </w:pBdr>
    </w:pPr>
    <w:rPr>
      <w:sz w:val="18"/>
      <w:szCs w:val="18"/>
    </w:rPr>
  </w:style>
  <w:style w:type="paragraph" w:styleId="805">
    <w:name w:val="toc 1"/>
    <w:basedOn w:val="773"/>
    <w:next w:val="773"/>
    <w:semiHidden/>
    <w:qFormat/>
    <w:pPr>
      <w:jc w:val="left"/>
    </w:pPr>
    <w:rPr>
      <w:rFonts w:eastAsia="楷体_GB2312"/>
      <w:sz w:val="24"/>
      <w:szCs w:val="20"/>
    </w:rPr>
  </w:style>
  <w:style w:type="paragraph" w:styleId="806">
    <w:name w:val="toc 4"/>
    <w:basedOn w:val="773"/>
    <w:next w:val="773"/>
    <w:uiPriority w:val="39"/>
    <w:unhideWhenUsed/>
    <w:qFormat/>
    <w:pPr>
      <w:ind w:left="850"/>
      <w:spacing w:after="57"/>
    </w:pPr>
  </w:style>
  <w:style w:type="paragraph" w:styleId="807">
    <w:name w:val="Subtitle"/>
    <w:basedOn w:val="773"/>
    <w:next w:val="773"/>
    <w:qFormat/>
    <w:pPr>
      <w:jc w:val="center"/>
      <w:spacing w:before="240" w:after="60" w:line="312" w:lineRule="auto"/>
      <w:outlineLvl w:val="1"/>
    </w:pPr>
    <w:rPr>
      <w:rFonts w:ascii="宋体" w:hAnsi="Courier New" w:eastAsia="楷体_GB2312"/>
      <w:sz w:val="26"/>
      <w:szCs w:val="20"/>
    </w:rPr>
  </w:style>
  <w:style w:type="paragraph" w:styleId="808">
    <w:name w:val="footnote text"/>
    <w:basedOn w:val="774"/>
    <w:next w:val="793"/>
    <w:qFormat/>
    <w:pPr>
      <w:ind w:firstLine="3584"/>
      <w:spacing w:before="0" w:after="0" w:line="360" w:lineRule="auto"/>
    </w:pPr>
  </w:style>
  <w:style w:type="paragraph" w:styleId="809">
    <w:name w:val="toc 6"/>
    <w:basedOn w:val="773"/>
    <w:next w:val="773"/>
    <w:uiPriority w:val="39"/>
    <w:unhideWhenUsed/>
    <w:qFormat/>
    <w:pPr>
      <w:ind w:left="1417"/>
      <w:spacing w:after="57"/>
    </w:pPr>
  </w:style>
  <w:style w:type="paragraph" w:styleId="810">
    <w:name w:val="Body Text Indent 3"/>
    <w:basedOn w:val="773"/>
    <w:qFormat/>
    <w:pPr>
      <w:ind w:firstLine="480"/>
      <w:jc w:val="left"/>
      <w:spacing w:line="440" w:lineRule="atLeast"/>
    </w:pPr>
    <w:rPr>
      <w:sz w:val="24"/>
    </w:rPr>
  </w:style>
  <w:style w:type="paragraph" w:styleId="811">
    <w:name w:val="table of figures"/>
    <w:basedOn w:val="773"/>
    <w:next w:val="773"/>
    <w:uiPriority w:val="99"/>
    <w:unhideWhenUsed/>
    <w:qFormat/>
  </w:style>
  <w:style w:type="paragraph" w:styleId="812">
    <w:name w:val="toc 2"/>
    <w:basedOn w:val="773"/>
    <w:next w:val="773"/>
    <w:uiPriority w:val="39"/>
    <w:unhideWhenUsed/>
    <w:qFormat/>
    <w:pPr>
      <w:ind w:left="283"/>
      <w:spacing w:after="57"/>
    </w:pPr>
  </w:style>
  <w:style w:type="paragraph" w:styleId="813">
    <w:name w:val="toc 9"/>
    <w:basedOn w:val="773"/>
    <w:next w:val="773"/>
    <w:uiPriority w:val="39"/>
    <w:unhideWhenUsed/>
    <w:qFormat/>
    <w:pPr>
      <w:ind w:left="2268"/>
      <w:spacing w:after="57"/>
    </w:pPr>
  </w:style>
  <w:style w:type="paragraph" w:styleId="814">
    <w:name w:val="Normal (Web)"/>
    <w:basedOn w:val="773"/>
    <w:qFormat/>
    <w:pPr>
      <w:jc w:val="left"/>
      <w:spacing w:before="100" w:beforeAutospacing="1" w:after="100" w:afterAutospacing="1"/>
      <w:widowControl/>
    </w:pPr>
    <w:rPr>
      <w:rFonts w:ascii="宋体" w:hAnsi="宋体" w:cs="宋体"/>
      <w:sz w:val="24"/>
    </w:rPr>
  </w:style>
  <w:style w:type="paragraph" w:styleId="815">
    <w:name w:val="Title"/>
    <w:basedOn w:val="773"/>
    <w:link w:val="987"/>
    <w:qFormat/>
    <w:pPr>
      <w:numPr>
        <w:numId w:val="1"/>
      </w:numPr>
      <w:jc w:val="center"/>
      <w:spacing w:before="240" w:after="60"/>
      <w:tabs>
        <w:tab w:val="left" w:pos="432" w:leader="none"/>
      </w:tabs>
      <w:outlineLvl w:val="0"/>
    </w:pPr>
    <w:rPr>
      <w:rFonts w:ascii="Arial" w:hAnsi="Arial"/>
      <w:b/>
      <w:bCs/>
      <w:sz w:val="32"/>
      <w:szCs w:val="32"/>
    </w:rPr>
  </w:style>
  <w:style w:type="paragraph" w:styleId="816">
    <w:name w:val="annotation subject"/>
    <w:basedOn w:val="790"/>
    <w:next w:val="790"/>
    <w:semiHidden/>
    <w:qFormat/>
    <w:rPr>
      <w:b/>
      <w:bCs/>
    </w:rPr>
  </w:style>
  <w:style w:type="paragraph" w:styleId="817">
    <w:name w:val="Body Text First Indent 2"/>
    <w:basedOn w:val="792"/>
    <w:qFormat/>
    <w:pPr>
      <w:ind w:firstLine="420"/>
    </w:pPr>
  </w:style>
  <w:style w:type="table" w:styleId="818">
    <w:name w:val="Table Grid"/>
    <w:basedOn w:val="78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Strong"/>
    <w:basedOn w:val="783"/>
    <w:qFormat/>
    <w:rPr>
      <w:b/>
      <w:bCs/>
    </w:rPr>
  </w:style>
  <w:style w:type="character" w:styleId="820">
    <w:name w:val="endnote reference"/>
    <w:basedOn w:val="783"/>
    <w:uiPriority w:val="99"/>
    <w:semiHidden/>
    <w:unhideWhenUsed/>
    <w:qFormat/>
    <w:rPr>
      <w:vertAlign w:val="superscript"/>
    </w:rPr>
  </w:style>
  <w:style w:type="character" w:styleId="821">
    <w:name w:val="page number"/>
    <w:basedOn w:val="783"/>
    <w:qFormat/>
  </w:style>
  <w:style w:type="character" w:styleId="822">
    <w:name w:val="FollowedHyperlink"/>
    <w:basedOn w:val="783"/>
    <w:semiHidden/>
    <w:unhideWhenUsed/>
    <w:qFormat/>
    <w:rPr>
      <w:color w:val="333333"/>
      <w:u w:val="none"/>
    </w:rPr>
  </w:style>
  <w:style w:type="character" w:styleId="823">
    <w:name w:val="Emphasis"/>
    <w:qFormat/>
    <w:rPr>
      <w:i/>
      <w:iCs/>
    </w:rPr>
  </w:style>
  <w:style w:type="character" w:styleId="824">
    <w:name w:val="Hyperlink"/>
    <w:qFormat/>
    <w:rPr>
      <w:color w:val="000000"/>
      <w:u w:val="none"/>
    </w:rPr>
  </w:style>
  <w:style w:type="character" w:styleId="825">
    <w:name w:val="annotation reference"/>
    <w:uiPriority w:val="99"/>
    <w:qFormat/>
    <w:rPr>
      <w:sz w:val="21"/>
      <w:szCs w:val="21"/>
    </w:rPr>
  </w:style>
  <w:style w:type="character" w:styleId="826">
    <w:name w:val="footnote reference"/>
    <w:basedOn w:val="783"/>
    <w:uiPriority w:val="99"/>
    <w:unhideWhenUsed/>
    <w:qFormat/>
    <w:rPr>
      <w:vertAlign w:val="superscript"/>
    </w:rPr>
  </w:style>
  <w:style w:type="character" w:styleId="827" w:customStyle="1">
    <w:name w:val="Heading 1 Char"/>
    <w:basedOn w:val="783"/>
    <w:uiPriority w:val="9"/>
    <w:qFormat/>
    <w:rPr>
      <w:rFonts w:ascii="Arial" w:hAnsi="Arial" w:eastAsia="Arial" w:cs="Arial"/>
      <w:sz w:val="40"/>
      <w:szCs w:val="40"/>
    </w:rPr>
  </w:style>
  <w:style w:type="character" w:styleId="828" w:customStyle="1">
    <w:name w:val="Heading 2 Char"/>
    <w:basedOn w:val="783"/>
    <w:uiPriority w:val="9"/>
    <w:qFormat/>
    <w:rPr>
      <w:rFonts w:ascii="Arial" w:hAnsi="Arial" w:eastAsia="Arial" w:cs="Arial"/>
      <w:sz w:val="34"/>
    </w:rPr>
  </w:style>
  <w:style w:type="character" w:styleId="829" w:customStyle="1">
    <w:name w:val="Heading 3 Char"/>
    <w:basedOn w:val="783"/>
    <w:uiPriority w:val="9"/>
    <w:qFormat/>
    <w:rPr>
      <w:rFonts w:ascii="Arial" w:hAnsi="Arial" w:eastAsia="Arial" w:cs="Arial"/>
      <w:sz w:val="30"/>
      <w:szCs w:val="30"/>
    </w:rPr>
  </w:style>
  <w:style w:type="character" w:styleId="830" w:customStyle="1">
    <w:name w:val="Heading 4 Char"/>
    <w:basedOn w:val="783"/>
    <w:uiPriority w:val="9"/>
    <w:qFormat/>
    <w:rPr>
      <w:rFonts w:ascii="Arial" w:hAnsi="Arial" w:eastAsia="Arial" w:cs="Arial"/>
      <w:b/>
      <w:bCs/>
      <w:sz w:val="26"/>
      <w:szCs w:val="26"/>
    </w:rPr>
  </w:style>
  <w:style w:type="character" w:styleId="831" w:customStyle="1">
    <w:name w:val="Heading 5 Char"/>
    <w:basedOn w:val="783"/>
    <w:uiPriority w:val="9"/>
    <w:qFormat/>
    <w:rPr>
      <w:rFonts w:ascii="Arial" w:hAnsi="Arial" w:eastAsia="Arial" w:cs="Arial"/>
      <w:b/>
      <w:bCs/>
      <w:sz w:val="24"/>
      <w:szCs w:val="24"/>
    </w:rPr>
  </w:style>
  <w:style w:type="character" w:styleId="832" w:customStyle="1">
    <w:name w:val="标题 6 Char"/>
    <w:basedOn w:val="783"/>
    <w:link w:val="779"/>
    <w:uiPriority w:val="9"/>
    <w:qFormat/>
    <w:rPr>
      <w:rFonts w:ascii="Arial" w:hAnsi="Arial" w:eastAsia="Arial" w:cs="Arial"/>
      <w:b/>
      <w:bCs/>
      <w:sz w:val="22"/>
      <w:szCs w:val="22"/>
    </w:rPr>
  </w:style>
  <w:style w:type="character" w:styleId="833" w:customStyle="1">
    <w:name w:val="标题 7 Char"/>
    <w:basedOn w:val="783"/>
    <w:link w:val="780"/>
    <w:uiPriority w:val="9"/>
    <w:qFormat/>
    <w:rPr>
      <w:rFonts w:ascii="Arial" w:hAnsi="Arial" w:eastAsia="Arial" w:cs="Arial"/>
      <w:b/>
      <w:bCs/>
      <w:i/>
      <w:iCs/>
      <w:sz w:val="22"/>
      <w:szCs w:val="22"/>
    </w:rPr>
  </w:style>
  <w:style w:type="character" w:styleId="834" w:customStyle="1">
    <w:name w:val="标题 8 Char"/>
    <w:basedOn w:val="783"/>
    <w:link w:val="781"/>
    <w:uiPriority w:val="9"/>
    <w:qFormat/>
    <w:rPr>
      <w:rFonts w:ascii="Arial" w:hAnsi="Arial" w:eastAsia="Arial" w:cs="Arial"/>
      <w:i/>
      <w:iCs/>
      <w:sz w:val="22"/>
      <w:szCs w:val="22"/>
    </w:rPr>
  </w:style>
  <w:style w:type="character" w:styleId="835" w:customStyle="1">
    <w:name w:val="标题 9 Char"/>
    <w:basedOn w:val="783"/>
    <w:link w:val="782"/>
    <w:uiPriority w:val="9"/>
    <w:qFormat/>
    <w:rPr>
      <w:rFonts w:ascii="Arial" w:hAnsi="Arial" w:eastAsia="Arial" w:cs="Arial"/>
      <w:i/>
      <w:iCs/>
      <w:sz w:val="21"/>
      <w:szCs w:val="21"/>
    </w:rPr>
  </w:style>
  <w:style w:type="character" w:styleId="836" w:customStyle="1">
    <w:name w:val="Title Char"/>
    <w:basedOn w:val="783"/>
    <w:uiPriority w:val="10"/>
    <w:qFormat/>
    <w:rPr>
      <w:sz w:val="48"/>
      <w:szCs w:val="48"/>
    </w:rPr>
  </w:style>
  <w:style w:type="character" w:styleId="837" w:customStyle="1">
    <w:name w:val="Subtitle Char"/>
    <w:basedOn w:val="783"/>
    <w:uiPriority w:val="11"/>
    <w:qFormat/>
    <w:rPr>
      <w:sz w:val="24"/>
      <w:szCs w:val="24"/>
    </w:rPr>
  </w:style>
  <w:style w:type="paragraph" w:styleId="838">
    <w:name w:val="Quote"/>
    <w:basedOn w:val="773"/>
    <w:next w:val="773"/>
    <w:link w:val="839"/>
    <w:uiPriority w:val="29"/>
    <w:qFormat/>
    <w:pPr>
      <w:ind w:left="720" w:right="720"/>
    </w:pPr>
    <w:rPr>
      <w:i/>
    </w:rPr>
  </w:style>
  <w:style w:type="character" w:styleId="839" w:customStyle="1">
    <w:name w:val="引用 Char"/>
    <w:link w:val="838"/>
    <w:uiPriority w:val="29"/>
    <w:qFormat/>
    <w:rPr>
      <w:i/>
    </w:rPr>
  </w:style>
  <w:style w:type="paragraph" w:styleId="840">
    <w:name w:val="Intense Quote"/>
    <w:basedOn w:val="773"/>
    <w:next w:val="773"/>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Char"/>
    <w:link w:val="840"/>
    <w:uiPriority w:val="30"/>
    <w:qFormat/>
    <w:rPr>
      <w:i/>
    </w:rPr>
  </w:style>
  <w:style w:type="character" w:styleId="842" w:customStyle="1">
    <w:name w:val="Header Char"/>
    <w:basedOn w:val="783"/>
    <w:uiPriority w:val="99"/>
    <w:qFormat/>
  </w:style>
  <w:style w:type="character" w:styleId="843" w:customStyle="1">
    <w:name w:val="Footer Char"/>
    <w:basedOn w:val="783"/>
    <w:uiPriority w:val="99"/>
    <w:qFormat/>
  </w:style>
  <w:style w:type="character" w:styleId="844" w:customStyle="1">
    <w:name w:val="Caption Char"/>
    <w:uiPriority w:val="99"/>
    <w:qFormat/>
  </w:style>
  <w:style w:type="table" w:styleId="845" w:customStyle="1">
    <w:name w:val="Table Grid Light"/>
    <w:basedOn w:val="78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6" w:customStyle="1">
    <w:name w:val="无格式表格 11"/>
    <w:basedOn w:val="78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basedOn w:val="784"/>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basedOn w:val="78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basedOn w:val="78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basedOn w:val="78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basedOn w:val="784"/>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basedOn w:val="784"/>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basedOn w:val="784"/>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basedOn w:val="784"/>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basedOn w:val="784"/>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basedOn w:val="784"/>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basedOn w:val="784"/>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basedOn w:val="78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basedOn w:val="784"/>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basedOn w:val="784"/>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basedOn w:val="784"/>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basedOn w:val="784"/>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basedOn w:val="784"/>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basedOn w:val="784"/>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网格表 31"/>
    <w:basedOn w:val="78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basedOn w:val="784"/>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basedOn w:val="784"/>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basedOn w:val="784"/>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basedOn w:val="784"/>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basedOn w:val="784"/>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basedOn w:val="784"/>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basedOn w:val="784"/>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basedOn w:val="784"/>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4" w:customStyle="1">
    <w:name w:val="Grid Table 4 - Accent 2"/>
    <w:basedOn w:val="784"/>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5" w:customStyle="1">
    <w:name w:val="Grid Table 4 - Accent 3"/>
    <w:basedOn w:val="784"/>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6" w:customStyle="1">
    <w:name w:val="Grid Table 4 - Accent 4"/>
    <w:basedOn w:val="784"/>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basedOn w:val="784"/>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basedOn w:val="784"/>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网格表 5 深色1"/>
    <w:basedOn w:val="78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basedOn w:val="78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basedOn w:val="78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basedOn w:val="78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basedOn w:val="78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basedOn w:val="78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basedOn w:val="78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网格表 6 彩色1"/>
    <w:basedOn w:val="784"/>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7" w:customStyle="1">
    <w:name w:val="Grid Table 6 Colorful - Accent 1"/>
    <w:basedOn w:val="784"/>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8" w:customStyle="1">
    <w:name w:val="Grid Table 6 Colorful - Accent 2"/>
    <w:basedOn w:val="784"/>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9" w:customStyle="1">
    <w:name w:val="Grid Table 6 Colorful - Accent 3"/>
    <w:basedOn w:val="784"/>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0" w:customStyle="1">
    <w:name w:val="Grid Table 6 Colorful - Accent 4"/>
    <w:basedOn w:val="784"/>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1" w:customStyle="1">
    <w:name w:val="Grid Table 6 Colorful - Accent 5"/>
    <w:basedOn w:val="784"/>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2" w:customStyle="1">
    <w:name w:val="Grid Table 6 Colorful - Accent 6"/>
    <w:basedOn w:val="784"/>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3" w:customStyle="1">
    <w:name w:val="网格表 7 彩色1"/>
    <w:basedOn w:val="784"/>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basedOn w:val="784"/>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basedOn w:val="784"/>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basedOn w:val="784"/>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basedOn w:val="784"/>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basedOn w:val="784"/>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basedOn w:val="784"/>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basedOn w:val="784"/>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basedOn w:val="784"/>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basedOn w:val="784"/>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basedOn w:val="784"/>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basedOn w:val="784"/>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basedOn w:val="784"/>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basedOn w:val="784"/>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清单表 21"/>
    <w:basedOn w:val="784"/>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8" w:customStyle="1">
    <w:name w:val="List Table 2 - Accent 1"/>
    <w:basedOn w:val="784"/>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basedOn w:val="784"/>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0" w:customStyle="1">
    <w:name w:val="List Table 2 - Accent 3"/>
    <w:basedOn w:val="784"/>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basedOn w:val="784"/>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basedOn w:val="784"/>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basedOn w:val="784"/>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清单表 31"/>
    <w:basedOn w:val="78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basedOn w:val="784"/>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basedOn w:val="784"/>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7" w:customStyle="1">
    <w:name w:val="List Table 3 - Accent 3"/>
    <w:basedOn w:val="784"/>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8" w:customStyle="1">
    <w:name w:val="List Table 3 - Accent 4"/>
    <w:basedOn w:val="784"/>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basedOn w:val="784"/>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basedOn w:val="784"/>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清单表 41"/>
    <w:basedOn w:val="78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basedOn w:val="784"/>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basedOn w:val="784"/>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basedOn w:val="784"/>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basedOn w:val="784"/>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basedOn w:val="784"/>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basedOn w:val="784"/>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清单表 5 深色1"/>
    <w:basedOn w:val="784"/>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9" w:customStyle="1">
    <w:name w:val="List Table 5 Dark - Accent 1"/>
    <w:basedOn w:val="784"/>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0" w:customStyle="1">
    <w:name w:val="List Table 5 Dark - Accent 2"/>
    <w:basedOn w:val="784"/>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1" w:customStyle="1">
    <w:name w:val="List Table 5 Dark - Accent 3"/>
    <w:basedOn w:val="784"/>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2" w:customStyle="1">
    <w:name w:val="List Table 5 Dark - Accent 4"/>
    <w:basedOn w:val="784"/>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3" w:customStyle="1">
    <w:name w:val="List Table 5 Dark - Accent 5"/>
    <w:basedOn w:val="784"/>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4" w:customStyle="1">
    <w:name w:val="List Table 5 Dark - Accent 6"/>
    <w:basedOn w:val="784"/>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5" w:customStyle="1">
    <w:name w:val="清单表 6 彩色1"/>
    <w:basedOn w:val="784"/>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6" w:customStyle="1">
    <w:name w:val="List Table 6 Colorful - Accent 1"/>
    <w:basedOn w:val="784"/>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7" w:customStyle="1">
    <w:name w:val="List Table 6 Colorful - Accent 2"/>
    <w:basedOn w:val="784"/>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8" w:customStyle="1">
    <w:name w:val="List Table 6 Colorful - Accent 3"/>
    <w:basedOn w:val="784"/>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9" w:customStyle="1">
    <w:name w:val="List Table 6 Colorful - Accent 4"/>
    <w:basedOn w:val="784"/>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0" w:customStyle="1">
    <w:name w:val="List Table 6 Colorful - Accent 5"/>
    <w:basedOn w:val="784"/>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1" w:customStyle="1">
    <w:name w:val="List Table 6 Colorful - Accent 6"/>
    <w:basedOn w:val="784"/>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2" w:customStyle="1">
    <w:name w:val="清单表 7 彩色1"/>
    <w:basedOn w:val="784"/>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basedOn w:val="784"/>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basedOn w:val="784"/>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basedOn w:val="784"/>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basedOn w:val="784"/>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basedOn w:val="784"/>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basedOn w:val="784"/>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basedOn w:val="78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0" w:customStyle="1">
    <w:name w:val="Lined - Accent 1"/>
    <w:basedOn w:val="78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1" w:customStyle="1">
    <w:name w:val="Lined - Accent 2"/>
    <w:basedOn w:val="78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2" w:customStyle="1">
    <w:name w:val="Lined - Accent 3"/>
    <w:basedOn w:val="78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3" w:customStyle="1">
    <w:name w:val="Lined - Accent 4"/>
    <w:basedOn w:val="78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basedOn w:val="78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basedOn w:val="78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basedOn w:val="784"/>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7" w:customStyle="1">
    <w:name w:val="Bordered &amp; Lined - Accent 1"/>
    <w:basedOn w:val="784"/>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8" w:customStyle="1">
    <w:name w:val="Bordered &amp; Lined - Accent 2"/>
    <w:basedOn w:val="784"/>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9" w:customStyle="1">
    <w:name w:val="Bordered &amp; Lined - Accent 3"/>
    <w:basedOn w:val="784"/>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0" w:customStyle="1">
    <w:name w:val="Bordered &amp; Lined - Accent 4"/>
    <w:basedOn w:val="784"/>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basedOn w:val="784"/>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basedOn w:val="784"/>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basedOn w:val="784"/>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4" w:customStyle="1">
    <w:name w:val="Bordered - Accent 1"/>
    <w:basedOn w:val="784"/>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basedOn w:val="784"/>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6" w:customStyle="1">
    <w:name w:val="Bordered - Accent 3"/>
    <w:basedOn w:val="784"/>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7" w:customStyle="1">
    <w:name w:val="Bordered - Accent 4"/>
    <w:basedOn w:val="784"/>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basedOn w:val="784"/>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basedOn w:val="784"/>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Footnote Text Char"/>
    <w:uiPriority w:val="99"/>
    <w:qFormat/>
    <w:rPr>
      <w:sz w:val="18"/>
    </w:rPr>
  </w:style>
  <w:style w:type="character" w:styleId="971" w:customStyle="1">
    <w:name w:val="尾注文本 Char"/>
    <w:link w:val="800"/>
    <w:uiPriority w:val="99"/>
    <w:qFormat/>
    <w:rPr>
      <w:sz w:val="20"/>
    </w:rPr>
  </w:style>
  <w:style w:type="paragraph" w:styleId="972" w:customStyle="1">
    <w:name w:val="TOC 标题1"/>
    <w:uiPriority w:val="39"/>
    <w:unhideWhenUsed/>
    <w:qFormat/>
  </w:style>
  <w:style w:type="paragraph" w:styleId="973" w:customStyle="1">
    <w:name w:val="首行缩进"/>
    <w:basedOn w:val="773"/>
    <w:qFormat/>
    <w:pPr>
      <w:ind w:firstLine="480"/>
      <w:jc w:val="left"/>
      <w:spacing w:line="360" w:lineRule="auto"/>
    </w:pPr>
    <w:rPr>
      <w:rFonts w:ascii="宋体" w:hAnsi="宋体"/>
      <w:sz w:val="24"/>
    </w:rPr>
  </w:style>
  <w:style w:type="paragraph" w:styleId="974" w:customStyle="1">
    <w:name w:val="段"/>
    <w:next w:val="773"/>
    <w:qFormat/>
    <w:pPr>
      <w:ind w:firstLine="200"/>
      <w:jc w:val="both"/>
    </w:pPr>
    <w:rPr>
      <w:rFonts w:ascii="宋体"/>
      <w:sz w:val="21"/>
    </w:rPr>
  </w:style>
  <w:style w:type="character" w:styleId="975" w:customStyle="1">
    <w:name w:val="标题 1 Char"/>
    <w:link w:val="774"/>
    <w:qFormat/>
    <w:rPr>
      <w:b/>
      <w:bCs/>
      <w:sz w:val="44"/>
      <w:szCs w:val="44"/>
    </w:rPr>
  </w:style>
  <w:style w:type="character" w:styleId="976" w:customStyle="1">
    <w:name w:val="标题 2 Char"/>
    <w:link w:val="775"/>
    <w:qFormat/>
    <w:rPr>
      <w:rFonts w:ascii="Cambria" w:hAnsi="Cambria"/>
      <w:b/>
      <w:bCs/>
      <w:sz w:val="32"/>
      <w:szCs w:val="32"/>
    </w:rPr>
  </w:style>
  <w:style w:type="character" w:styleId="977" w:customStyle="1">
    <w:name w:val="标题 3 Char"/>
    <w:link w:val="776"/>
    <w:qFormat/>
    <w:rPr>
      <w:b/>
      <w:bCs/>
      <w:sz w:val="32"/>
      <w:szCs w:val="32"/>
    </w:rPr>
  </w:style>
  <w:style w:type="paragraph" w:styleId="978" w:customStyle="1">
    <w:name w:val="正文 A"/>
    <w:next w:val="974"/>
    <w:qFormat/>
    <w:pPr>
      <w:jc w:val="both"/>
      <w:widowControl w:val="off"/>
      <w:framePr w:wrap="around" w:hAnchor="text" w:yAlign="top"/>
    </w:pPr>
    <w:rPr>
      <w:rFonts w:ascii="Calibri" w:hAnsi="Calibri" w:eastAsia="Times New Roman"/>
      <w:color w:val="000000"/>
      <w:sz w:val="21"/>
      <w:szCs w:val="21"/>
    </w:rPr>
  </w:style>
  <w:style w:type="character" w:styleId="979" w:customStyle="1">
    <w:name w:val="纯文本 Char"/>
    <w:link w:val="796"/>
    <w:qFormat/>
    <w:rPr>
      <w:rFonts w:ascii="宋体" w:hAnsi="Courier New" w:eastAsia="楷体_GB2312"/>
      <w:sz w:val="26"/>
      <w:szCs w:val="24"/>
      <w:lang w:val="en-US" w:eastAsia="zh-CN" w:bidi="ar-SA"/>
    </w:rPr>
  </w:style>
  <w:style w:type="character" w:styleId="980" w:customStyle="1">
    <w:name w:val="正文缩进 Char"/>
    <w:link w:val="786"/>
    <w:qFormat/>
    <w:rPr>
      <w:rFonts w:eastAsia="楷体_GB2312"/>
      <w:sz w:val="24"/>
      <w:lang w:val="en-US" w:eastAsia="zh-CN" w:bidi="ar-SA"/>
    </w:rPr>
  </w:style>
  <w:style w:type="character" w:styleId="981" w:customStyle="1">
    <w:name w:val="标题 5 Char"/>
    <w:link w:val="778"/>
    <w:qFormat/>
    <w:rPr>
      <w:rFonts w:eastAsia="宋体"/>
      <w:b/>
      <w:bCs/>
      <w:i/>
      <w:iCs/>
      <w:sz w:val="26"/>
      <w:szCs w:val="26"/>
      <w:lang w:val="en-US" w:eastAsia="zh-CN" w:bidi="ar-SA"/>
    </w:rPr>
  </w:style>
  <w:style w:type="character" w:styleId="982" w:customStyle="1">
    <w:name w:val="+正文 Char3"/>
    <w:link w:val="983"/>
    <w:qFormat/>
    <w:rPr>
      <w:rFonts w:eastAsia="宋体"/>
      <w:sz w:val="24"/>
      <w:lang w:val="en-US" w:eastAsia="zh-CN" w:bidi="ar-SA"/>
    </w:rPr>
  </w:style>
  <w:style w:type="paragraph" w:styleId="983" w:customStyle="1">
    <w:name w:val="+正文"/>
    <w:basedOn w:val="773"/>
    <w:link w:val="982"/>
    <w:qFormat/>
    <w:pPr>
      <w:ind w:firstLine="200"/>
      <w:spacing w:line="360" w:lineRule="auto"/>
    </w:pPr>
    <w:rPr>
      <w:sz w:val="24"/>
      <w:szCs w:val="20"/>
    </w:rPr>
  </w:style>
  <w:style w:type="character" w:styleId="984" w:customStyle="1">
    <w:name w:val="页脚 Char"/>
    <w:link w:val="802"/>
    <w:semiHidden/>
    <w:qFormat/>
    <w:rPr>
      <w:rFonts w:eastAsia="宋体"/>
      <w:sz w:val="18"/>
      <w:szCs w:val="18"/>
      <w:lang w:val="en-US" w:eastAsia="zh-CN" w:bidi="ar-SA"/>
    </w:rPr>
  </w:style>
  <w:style w:type="character" w:styleId="985" w:customStyle="1">
    <w:name w:val="Char Char8"/>
    <w:qFormat/>
    <w:rPr>
      <w:sz w:val="18"/>
    </w:rPr>
  </w:style>
  <w:style w:type="character" w:styleId="986" w:customStyle="1">
    <w:name w:val="标题 4 Char"/>
    <w:link w:val="777"/>
    <w:qFormat/>
    <w:rPr>
      <w:rFonts w:eastAsia="宋体"/>
      <w:b/>
      <w:bCs/>
      <w:sz w:val="28"/>
      <w:szCs w:val="28"/>
      <w:lang w:val="en-US" w:eastAsia="zh-CN" w:bidi="ar-SA"/>
    </w:rPr>
  </w:style>
  <w:style w:type="character" w:styleId="987" w:customStyle="1">
    <w:name w:val="标题 Char"/>
    <w:link w:val="815"/>
    <w:qFormat/>
    <w:rPr>
      <w:rFonts w:ascii="Arial" w:hAnsi="Arial"/>
      <w:b/>
      <w:bCs/>
      <w:sz w:val="32"/>
      <w:szCs w:val="32"/>
      <w:lang w:bidi="ar-SA"/>
    </w:rPr>
  </w:style>
  <w:style w:type="character" w:styleId="988" w:customStyle="1">
    <w:name w:val="文字正文主体 Char Char"/>
    <w:link w:val="989"/>
    <w:qFormat/>
    <w:rPr>
      <w:rFonts w:ascii="仿宋" w:hAnsi="仿宋" w:eastAsia="仿宋"/>
      <w:color w:val="3a3a3a"/>
      <w:sz w:val="28"/>
      <w:lang w:val="en-US" w:eastAsia="zh-CN" w:bidi="ar-SA"/>
    </w:rPr>
  </w:style>
  <w:style w:type="paragraph" w:styleId="989" w:customStyle="1">
    <w:name w:val="文字正文主体"/>
    <w:basedOn w:val="773"/>
    <w:link w:val="988"/>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90" w:customStyle="1">
    <w:name w:val="页眉 Char"/>
    <w:link w:val="804"/>
    <w:uiPriority w:val="99"/>
    <w:qFormat/>
    <w:rPr>
      <w:rFonts w:eastAsia="宋体"/>
      <w:sz w:val="18"/>
      <w:szCs w:val="18"/>
      <w:lang w:val="en-US" w:eastAsia="zh-CN" w:bidi="ar-SA"/>
    </w:rPr>
  </w:style>
  <w:style w:type="character" w:styleId="991" w:customStyle="1">
    <w:name w:val="Char Char5"/>
    <w:qFormat/>
    <w:rPr>
      <w:sz w:val="24"/>
      <w:lang w:val="en-US" w:eastAsia="zh-CN"/>
    </w:rPr>
  </w:style>
  <w:style w:type="character" w:styleId="992" w:customStyle="1">
    <w:name w:val="Char Char11"/>
    <w:qFormat/>
    <w:rPr>
      <w:sz w:val="21"/>
    </w:rPr>
  </w:style>
  <w:style w:type="character" w:styleId="993" w:customStyle="1">
    <w:name w:val="c lh15"/>
    <w:basedOn w:val="783"/>
    <w:qFormat/>
  </w:style>
  <w:style w:type="character" w:styleId="994" w:customStyle="1">
    <w:name w:val="批注文字 Char"/>
    <w:link w:val="790"/>
    <w:qFormat/>
    <w:rPr>
      <w:rFonts w:eastAsia="宋体"/>
      <w:sz w:val="21"/>
      <w:szCs w:val="24"/>
      <w:lang w:val="en-US" w:eastAsia="zh-CN" w:bidi="ar-SA"/>
    </w:rPr>
  </w:style>
  <w:style w:type="character" w:styleId="995" w:customStyle="1">
    <w:name w:val="日期 Char"/>
    <w:link w:val="798"/>
    <w:qFormat/>
    <w:rPr>
      <w:sz w:val="36"/>
      <w:lang w:bidi="ar-SA"/>
    </w:rPr>
  </w:style>
  <w:style w:type="character" w:styleId="996" w:customStyle="1">
    <w:name w:val="Plain Text Char Char"/>
    <w:link w:val="997"/>
    <w:qFormat/>
    <w:rPr>
      <w:rFonts w:ascii="宋体" w:hAnsi="Courier New" w:eastAsia="楷体_GB2312"/>
      <w:sz w:val="28"/>
    </w:rPr>
  </w:style>
  <w:style w:type="paragraph" w:styleId="997" w:customStyle="1">
    <w:name w:val="纯文本1"/>
    <w:basedOn w:val="773"/>
    <w:link w:val="996"/>
    <w:qFormat/>
    <w:rPr>
      <w:rFonts w:ascii="宋体" w:hAnsi="Courier New" w:eastAsia="楷体_GB2312"/>
      <w:sz w:val="28"/>
      <w:szCs w:val="20"/>
    </w:rPr>
  </w:style>
  <w:style w:type="paragraph" w:styleId="998" w:customStyle="1">
    <w:name w:val="Char Char Char Char Char Char Char Char Char1 Char Char Char Char"/>
    <w:basedOn w:val="789"/>
    <w:qFormat/>
    <w:pPr>
      <w:spacing w:line="360" w:lineRule="auto"/>
    </w:pPr>
    <w:rPr>
      <w:rFonts w:eastAsia="楷体_GB2312"/>
      <w:sz w:val="26"/>
      <w:szCs w:val="20"/>
    </w:rPr>
  </w:style>
  <w:style w:type="paragraph" w:styleId="999" w:customStyle="1">
    <w:name w:val="Char Char Char Char Char Char Char Char Char Char"/>
    <w:basedOn w:val="773"/>
    <w:qFormat/>
    <w:pPr>
      <w:numPr>
        <w:numId w:val="2"/>
      </w:numPr>
    </w:pPr>
    <w:rPr>
      <w:sz w:val="24"/>
    </w:rPr>
  </w:style>
  <w:style w:type="paragraph" w:styleId="1000" w:customStyle="1">
    <w:name w:val="Char Char Char Char Char Char Char Char Char1 Char"/>
    <w:basedOn w:val="789"/>
    <w:qFormat/>
    <w:pPr>
      <w:spacing w:line="360" w:lineRule="auto"/>
    </w:pPr>
    <w:rPr>
      <w:rFonts w:ascii="Tahoma" w:hAnsi="Tahoma"/>
      <w:sz w:val="24"/>
    </w:rPr>
  </w:style>
  <w:style w:type="paragraph" w:styleId="1001" w:customStyle="1">
    <w:name w:val="Char Char Char"/>
    <w:basedOn w:val="789"/>
    <w:qFormat/>
    <w:pPr>
      <w:spacing w:line="360" w:lineRule="auto"/>
    </w:pPr>
    <w:rPr>
      <w:rFonts w:ascii="Tahoma" w:hAnsi="Tahoma"/>
      <w:sz w:val="24"/>
    </w:rPr>
  </w:style>
  <w:style w:type="paragraph" w:styleId="1002" w:customStyle="1">
    <w:name w:val="Char Char Char Char"/>
    <w:basedOn w:val="789"/>
    <w:qFormat/>
    <w:pPr>
      <w:spacing w:line="360" w:lineRule="auto"/>
    </w:pPr>
    <w:rPr>
      <w:sz w:val="24"/>
      <w:szCs w:val="20"/>
    </w:rPr>
  </w:style>
  <w:style w:type="paragraph" w:styleId="1003" w:customStyle="1">
    <w:name w:val="Char1 Char Char Char"/>
    <w:basedOn w:val="773"/>
    <w:qFormat/>
    <w:rPr>
      <w:rFonts w:ascii="Tahoma" w:hAnsi="Tahoma"/>
      <w:sz w:val="24"/>
      <w:szCs w:val="20"/>
    </w:rPr>
  </w:style>
  <w:style w:type="paragraph" w:styleId="1004" w:customStyle="1">
    <w:name w:val="Char"/>
    <w:basedOn w:val="773"/>
    <w:qFormat/>
    <w:pPr>
      <w:ind w:left="420" w:hanging="420"/>
      <w:tabs>
        <w:tab w:val="left" w:pos="420" w:leader="none"/>
      </w:tabs>
    </w:pPr>
    <w:rPr>
      <w:sz w:val="24"/>
    </w:rPr>
  </w:style>
  <w:style w:type="paragraph" w:styleId="1005" w:customStyle="1">
    <w:name w:val="正文2"/>
    <w:basedOn w:val="773"/>
    <w:qFormat/>
    <w:pPr>
      <w:ind w:firstLine="200"/>
      <w:jc w:val="left"/>
      <w:spacing w:after="160" w:line="360" w:lineRule="auto"/>
      <w:widowControl/>
    </w:pPr>
    <w:rPr>
      <w:rFonts w:ascii="Verdana" w:hAnsi="Verdana" w:eastAsia="黑体"/>
      <w:szCs w:val="20"/>
      <w:lang w:eastAsia="en-US"/>
    </w:rPr>
  </w:style>
  <w:style w:type="paragraph" w:styleId="1006" w:customStyle="1">
    <w:name w:val="Char Char Char1 Char Char Char Char"/>
    <w:basedOn w:val="773"/>
    <w:qFormat/>
    <w:pPr>
      <w:jc w:val="left"/>
      <w:spacing w:after="160" w:line="240" w:lineRule="exact"/>
      <w:widowControl/>
    </w:pPr>
    <w:rPr>
      <w:sz w:val="24"/>
    </w:rPr>
  </w:style>
  <w:style w:type="paragraph" w:styleId="1007">
    <w:name w:val="No Spacing"/>
    <w:uiPriority w:val="1"/>
    <w:qFormat/>
    <w:pPr>
      <w:jc w:val="both"/>
      <w:widowControl w:val="off"/>
    </w:pPr>
    <w:rPr>
      <w:sz w:val="21"/>
      <w:szCs w:val="24"/>
    </w:rPr>
  </w:style>
  <w:style w:type="paragraph" w:styleId="1008" w:customStyle="1">
    <w:name w:val="纯文本11"/>
    <w:basedOn w:val="773"/>
    <w:qFormat/>
    <w:rPr>
      <w:rFonts w:ascii="宋体" w:hAnsi="Courier New" w:eastAsia="楷体_GB2312"/>
      <w:sz w:val="28"/>
      <w:szCs w:val="20"/>
    </w:rPr>
  </w:style>
  <w:style w:type="character" w:styleId="1009" w:customStyle="1">
    <w:name w:val="纯文本 Char1"/>
    <w:qFormat/>
    <w:rPr>
      <w:rFonts w:ascii="宋体" w:hAnsi="Courier New" w:eastAsia="楷体_GB2312"/>
      <w:sz w:val="24"/>
      <w:lang w:val="en-US" w:eastAsia="zh-CN" w:bidi="ar-SA"/>
    </w:rPr>
  </w:style>
  <w:style w:type="paragraph" w:styleId="1010" w:customStyle="1">
    <w:name w:val="纯文本2"/>
    <w:basedOn w:val="773"/>
    <w:qFormat/>
    <w:rPr>
      <w:rFonts w:ascii="宋体" w:hAnsi="Courier New" w:eastAsia="楷体_GB2312"/>
      <w:sz w:val="26"/>
      <w:szCs w:val="20"/>
    </w:rPr>
  </w:style>
  <w:style w:type="character" w:styleId="1011" w:customStyle="1">
    <w:name w:val="Plain Text Char"/>
    <w:qFormat/>
    <w:rPr>
      <w:rFonts w:ascii="宋体" w:hAnsi="Courier New" w:eastAsia="楷体_GB2312"/>
      <w:sz w:val="26"/>
      <w:lang w:val="en-US" w:eastAsia="zh-CN" w:bidi="ar-SA"/>
    </w:rPr>
  </w:style>
  <w:style w:type="paragraph" w:styleId="1012" w:customStyle="1">
    <w:name w:val="修订1"/>
    <w:hidden/>
    <w:uiPriority w:val="99"/>
    <w:semiHidden/>
    <w:unhideWhenUsed/>
    <w:qFormat/>
    <w:rPr>
      <w:sz w:val="21"/>
      <w:szCs w:val="24"/>
    </w:rPr>
  </w:style>
  <w:style w:type="character" w:styleId="1013" w:customStyle="1">
    <w:name w:val="apple-converted-space"/>
    <w:basedOn w:val="783"/>
    <w:qFormat/>
  </w:style>
  <w:style w:type="paragraph" w:styleId="1014" w:customStyle="1">
    <w:name w:val="p1"/>
    <w:basedOn w:val="773"/>
    <w:qFormat/>
    <w:pPr>
      <w:jc w:val="left"/>
      <w:spacing w:before="100" w:beforeAutospacing="1" w:after="100" w:afterAutospacing="1"/>
      <w:widowControl/>
    </w:pPr>
    <w:rPr>
      <w:rFonts w:ascii="宋体" w:hAnsi="宋体" w:cs="宋体"/>
      <w:sz w:val="24"/>
    </w:rPr>
  </w:style>
  <w:style w:type="paragraph" w:styleId="1015" w:customStyle="1">
    <w:name w:val="p3"/>
    <w:basedOn w:val="773"/>
    <w:qFormat/>
    <w:pPr>
      <w:jc w:val="left"/>
      <w:spacing w:before="100" w:beforeAutospacing="1" w:after="100" w:afterAutospacing="1"/>
      <w:widowControl/>
    </w:pPr>
    <w:rPr>
      <w:rFonts w:ascii="宋体" w:hAnsi="宋体" w:cs="宋体"/>
      <w:sz w:val="24"/>
    </w:rPr>
  </w:style>
  <w:style w:type="character" w:styleId="1016" w:customStyle="1">
    <w:name w:val="s6"/>
    <w:basedOn w:val="783"/>
    <w:qFormat/>
  </w:style>
  <w:style w:type="character" w:styleId="1017" w:customStyle="1">
    <w:name w:val="s1"/>
    <w:basedOn w:val="783"/>
    <w:qFormat/>
  </w:style>
  <w:style w:type="paragraph" w:styleId="1018" w:customStyle="1">
    <w:name w:val="列出段落1"/>
    <w:basedOn w:val="773"/>
    <w:uiPriority w:val="34"/>
    <w:qFormat/>
    <w:pPr>
      <w:ind w:firstLine="420"/>
    </w:pPr>
    <w:rPr>
      <w:lang w:val="zh-CN"/>
    </w:rPr>
  </w:style>
  <w:style w:type="character" w:styleId="1019" w:customStyle="1">
    <w:name w:val="批注文字 Char3"/>
    <w:qFormat/>
    <w:rPr>
      <w:rFonts w:eastAsia="宋体"/>
      <w:sz w:val="21"/>
      <w:szCs w:val="24"/>
      <w:lang w:val="en-US" w:eastAsia="zh-CN" w:bidi="ar-SA"/>
    </w:rPr>
  </w:style>
  <w:style w:type="paragraph" w:styleId="1020">
    <w:name w:val="List Paragraph"/>
    <w:basedOn w:val="773"/>
    <w:uiPriority w:val="99"/>
    <w:qFormat/>
    <w:pPr>
      <w:ind w:firstLine="420"/>
    </w:pPr>
  </w:style>
  <w:style w:type="paragraph" w:styleId="1021" w:customStyle="1">
    <w:name w:val="BodyText"/>
    <w:basedOn w:val="773"/>
    <w:uiPriority w:val="99"/>
    <w:qFormat/>
    <w:pPr>
      <w:spacing w:after="120"/>
    </w:pPr>
  </w:style>
  <w:style w:type="character" w:styleId="1022" w:customStyle="1">
    <w:name w:val="NormalCharacter"/>
    <w:semiHidden/>
    <w:qFormat/>
  </w:style>
  <w:style w:type="character" w:styleId="1023" w:customStyle="1">
    <w:name w:val="正文文本缩进 Char"/>
    <w:basedOn w:val="783"/>
    <w:link w:val="792"/>
    <w:qFormat/>
    <w:rPr>
      <w:rFonts w:ascii="Times New Roman" w:hAnsi="Times New Roman"/>
      <w:sz w:val="21"/>
      <w:szCs w:val="24"/>
    </w:rPr>
  </w:style>
  <w:style w:type="paragraph" w:styleId="1024" w:customStyle="1">
    <w:name w:val="纯文本3"/>
    <w:basedOn w:val="773"/>
    <w:qFormat/>
    <w:rPr>
      <w:rFonts w:ascii="宋体" w:hAnsi="Courier New" w:eastAsia="楷体_GB2312"/>
      <w:sz w:val="28"/>
      <w:szCs w:val="20"/>
    </w:rPr>
  </w:style>
  <w:style w:type="paragraph" w:styleId="1025" w:customStyle="1">
    <w:name w:val="修订2"/>
    <w:hidden/>
    <w:uiPriority w:val="99"/>
    <w:semiHidden/>
    <w:qFormat/>
    <w:rPr>
      <w:sz w:val="21"/>
      <w:szCs w:val="24"/>
    </w:rPr>
  </w:style>
  <w:style w:type="paragraph" w:styleId="1026" w:customStyle="1">
    <w:name w:val="修订3"/>
    <w:hidden/>
    <w:uiPriority w:val="99"/>
    <w:semiHidden/>
    <w:qFormat/>
    <w:rPr>
      <w:sz w:val="21"/>
      <w:szCs w:val="24"/>
    </w:rPr>
  </w:style>
  <w:style w:type="paragraph" w:styleId="1027" w:customStyle="1">
    <w:name w:val="修订4"/>
    <w:hidden/>
    <w:uiPriority w:val="99"/>
    <w:semiHidden/>
    <w:qFormat/>
    <w:rPr>
      <w:sz w:val="21"/>
      <w:szCs w:val="24"/>
    </w:rPr>
  </w:style>
  <w:style w:type="paragraph" w:styleId="1028" w:customStyle="1">
    <w:name w:val="列出段落2"/>
    <w:basedOn w:val="773"/>
    <w:uiPriority w:val="34"/>
    <w:qFormat/>
    <w:pPr>
      <w:ind w:firstLine="420"/>
    </w:pPr>
  </w:style>
  <w:style w:type="paragraph" w:styleId="1029" w:customStyle="1">
    <w:name w:val="_正文段落"/>
    <w:basedOn w:val="773"/>
    <w:qFormat/>
    <w:pPr>
      <w:ind w:firstLine="200"/>
      <w:spacing w:line="360" w:lineRule="auto"/>
    </w:pPr>
    <w:rPr>
      <w:sz w:val="24"/>
    </w:rPr>
  </w:style>
  <w:style w:type="paragraph" w:styleId="1030" w:customStyle="1">
    <w:name w:val="_Style 30"/>
    <w:basedOn w:val="773"/>
    <w:next w:val="796"/>
    <w:qFormat/>
    <w:rPr>
      <w:rFonts w:ascii="宋体" w:hAnsi="Courier New"/>
    </w:rPr>
  </w:style>
  <w:style w:type="paragraph" w:styleId="1031" w:customStyle="1">
    <w:name w:val="纯文本4"/>
    <w:basedOn w:val="773"/>
    <w:qFormat/>
    <w:rPr>
      <w:rFonts w:ascii="宋体" w:hAnsi="Courier New" w:eastAsia="楷体_GB2312"/>
      <w:sz w:val="26"/>
      <w:szCs w:val="20"/>
    </w:rPr>
  </w:style>
  <w:style w:type="paragraph" w:styleId="1032" w:customStyle="1">
    <w:name w:val="正文文本缩进1"/>
    <w:basedOn w:val="773"/>
    <w:qFormat/>
    <w:pPr>
      <w:ind w:left="570"/>
      <w:spacing w:line="520" w:lineRule="exact"/>
    </w:pPr>
    <w:rPr>
      <w:rFonts w:ascii="方正仿宋简体" w:hAnsi="创艺简仿宋" w:eastAsia="方正仿宋简体"/>
      <w:sz w:val="24"/>
    </w:rPr>
  </w:style>
  <w:style w:type="paragraph" w:styleId="1033" w:customStyle="1">
    <w:name w:val="寄信人地址1"/>
    <w:basedOn w:val="773"/>
    <w:qFormat/>
    <w:rPr>
      <w:rFonts w:ascii="Arial" w:hAnsi="Arial"/>
    </w:rPr>
  </w:style>
  <w:style w:type="paragraph" w:styleId="1034" w:customStyle="1">
    <w:name w:val="Plain Text1"/>
    <w:basedOn w:val="773"/>
    <w:qFormat/>
    <w:rPr>
      <w:rFonts w:ascii="宋体" w:hAnsi="Courier New" w:eastAsia="楷体_GB2312" w:cs="宋体"/>
      <w:sz w:val="26"/>
      <w:szCs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庄天扬</cp:lastModifiedBy>
  <cp:revision>85</cp:revision>
  <dcterms:created xsi:type="dcterms:W3CDTF">2024-01-04T10:17:00Z</dcterms:created>
  <dcterms:modified xsi:type="dcterms:W3CDTF">2026-01-04T07:53:46Z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A7F631219E9B40EDB854A42112ACCF47_13</vt:lpwstr>
  </property>
  <property fmtid="{D5CDD505-2E9C-101B-9397-08002B2CF9AE}" pid="4" name="ContentTypeId">
    <vt:lpwstr>0x01010081C51C0CE0027140830352BF468F90BF</vt:lpwstr>
  </property>
  <property fmtid="{D5CDD505-2E9C-101B-9397-08002B2CF9AE}" pid="5" name="KSOTemplateDocerSaveRecord">
    <vt:lpwstr>eyJoZGlkIjoiZGRlNGE1OWE1NDIxZDAwMTQwZTBiZjRjOWQyYjZkMDIiLCJ1c2VySWQiOiIxMDQzMzQ5ODU4In0=</vt:lpwstr>
  </property>
</Properties>
</file>